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12059" w14:textId="77777777" w:rsidR="00182272" w:rsidRPr="002F194C" w:rsidRDefault="00182272" w:rsidP="00182272">
      <w:pPr>
        <w:ind w:left="-142" w:right="-188"/>
        <w:jc w:val="center"/>
        <w:rPr>
          <w:rFonts w:ascii="Titillium Web" w:hAnsi="Titillium Web" w:cs="Times New Roman"/>
          <w:b/>
          <w:bCs/>
          <w:sz w:val="26"/>
          <w:szCs w:val="26"/>
          <w:u w:val="single"/>
        </w:rPr>
      </w:pPr>
      <w:r w:rsidRPr="002F194C">
        <w:rPr>
          <w:rFonts w:ascii="Titillium Web" w:hAnsi="Titillium Web" w:cs="Times New Roman"/>
          <w:b/>
          <w:bCs/>
          <w:sz w:val="26"/>
          <w:szCs w:val="26"/>
          <w:u w:val="single"/>
        </w:rPr>
        <w:t>REPORT CONTROLLO VERIFICHE DESK A CAMPIONE DEGLI INTERVENTI LUMP SUM</w:t>
      </w:r>
    </w:p>
    <w:p w14:paraId="4032EFA4" w14:textId="77777777" w:rsidR="00182272" w:rsidRPr="002F194C" w:rsidRDefault="00182272" w:rsidP="00182272">
      <w:pPr>
        <w:ind w:left="-142" w:right="-188"/>
        <w:jc w:val="center"/>
        <w:rPr>
          <w:rFonts w:ascii="Titillium Web" w:hAnsi="Titillium Web" w:cs="Times New Roman"/>
          <w:b/>
          <w:bCs/>
          <w:sz w:val="26"/>
          <w:szCs w:val="26"/>
          <w:u w:val="single"/>
        </w:rPr>
      </w:pPr>
    </w:p>
    <w:tbl>
      <w:tblPr>
        <w:tblW w:w="739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615"/>
        <w:gridCol w:w="3765"/>
        <w:gridCol w:w="615"/>
        <w:gridCol w:w="2400"/>
      </w:tblGrid>
      <w:tr w:rsidR="00182272" w:rsidRPr="002F194C" w14:paraId="7D3B2C55" w14:textId="77777777" w:rsidTr="00457309">
        <w:trPr>
          <w:jc w:val="center"/>
        </w:trPr>
        <w:tc>
          <w:tcPr>
            <w:tcW w:w="6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04356" w14:textId="24E5B1E5" w:rsidR="00182272" w:rsidRPr="002F194C" w:rsidRDefault="00182272" w:rsidP="001822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jc w:val="center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765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4357F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Cs w:val="24"/>
              </w:rPr>
            </w:pPr>
            <w:r w:rsidRPr="002F194C">
              <w:rPr>
                <w:rFonts w:ascii="Titillium Web" w:hAnsi="Titillium Web" w:cs="Times New Roman"/>
                <w:b/>
                <w:szCs w:val="24"/>
              </w:rPr>
              <w:t xml:space="preserve"> Report provvisorio</w:t>
            </w:r>
          </w:p>
        </w:tc>
        <w:tc>
          <w:tcPr>
            <w:tcW w:w="6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541B2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62D79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Cs w:val="24"/>
              </w:rPr>
            </w:pPr>
            <w:r w:rsidRPr="002F194C">
              <w:rPr>
                <w:rFonts w:ascii="Titillium Web" w:hAnsi="Titillium Web" w:cs="Times New Roman"/>
                <w:b/>
                <w:szCs w:val="24"/>
              </w:rPr>
              <w:t xml:space="preserve"> Report definitivo</w:t>
            </w:r>
          </w:p>
        </w:tc>
      </w:tr>
      <w:tr w:rsidR="00182272" w:rsidRPr="002F194C" w14:paraId="16822464" w14:textId="77777777" w:rsidTr="00457309">
        <w:trPr>
          <w:jc w:val="center"/>
        </w:trPr>
        <w:tc>
          <w:tcPr>
            <w:tcW w:w="615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0AD9E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16017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615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01618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C51FC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</w:tr>
      <w:tr w:rsidR="00182272" w:rsidRPr="002F194C" w14:paraId="0846F732" w14:textId="77777777" w:rsidTr="00457309">
        <w:trPr>
          <w:jc w:val="center"/>
        </w:trPr>
        <w:tc>
          <w:tcPr>
            <w:tcW w:w="6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ABCC3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765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853AA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Cs w:val="24"/>
              </w:rPr>
            </w:pPr>
            <w:r w:rsidRPr="002F194C">
              <w:rPr>
                <w:rFonts w:ascii="Titillium Web" w:hAnsi="Titillium Web" w:cs="Times New Roman"/>
                <w:b/>
                <w:szCs w:val="24"/>
              </w:rPr>
              <w:t xml:space="preserve"> Controllo campionario</w:t>
            </w:r>
          </w:p>
        </w:tc>
        <w:tc>
          <w:tcPr>
            <w:tcW w:w="6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E7DE6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jc w:val="center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400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08B91" w14:textId="77777777" w:rsidR="00182272" w:rsidRPr="002F194C" w:rsidRDefault="00182272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Cs w:val="24"/>
              </w:rPr>
            </w:pPr>
            <w:r w:rsidRPr="002F194C">
              <w:rPr>
                <w:rFonts w:ascii="Titillium Web" w:hAnsi="Titillium Web" w:cs="Times New Roman"/>
                <w:b/>
                <w:szCs w:val="24"/>
              </w:rPr>
              <w:t xml:space="preserve"> Controllo 100%</w:t>
            </w:r>
          </w:p>
        </w:tc>
      </w:tr>
    </w:tbl>
    <w:p w14:paraId="2585F183" w14:textId="77777777" w:rsidR="00182272" w:rsidRPr="002F194C" w:rsidRDefault="00182272" w:rsidP="00182272">
      <w:pPr>
        <w:ind w:left="-142" w:right="-188"/>
        <w:jc w:val="center"/>
        <w:rPr>
          <w:rFonts w:ascii="Titillium Web" w:hAnsi="Titillium Web" w:cs="Times New Roman"/>
          <w:b/>
          <w:sz w:val="4"/>
          <w:szCs w:val="4"/>
          <w:u w:val="single"/>
        </w:rPr>
      </w:pPr>
    </w:p>
    <w:p w14:paraId="1E8EF8D9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shd w:val="clear" w:color="auto" w:fill="D9F2D0" w:themeFill="accent6" w:themeFillTint="33"/>
        <w:spacing w:line="360" w:lineRule="auto"/>
        <w:ind w:left="-142" w:right="-188"/>
        <w:jc w:val="center"/>
        <w:rPr>
          <w:rFonts w:ascii="Titillium Web" w:hAnsi="Titillium Web" w:cs="Times New Roman"/>
          <w:b/>
          <w:bCs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bCs/>
          <w:color w:val="000000" w:themeColor="text1"/>
          <w:sz w:val="28"/>
          <w:szCs w:val="28"/>
        </w:rPr>
        <w:t>DATA E ANAGRAFICA CONTROLLO</w:t>
      </w:r>
    </w:p>
    <w:p w14:paraId="6DED5088" w14:textId="77777777" w:rsidR="00182272" w:rsidRPr="002F194C" w:rsidRDefault="00182272" w:rsidP="00182272">
      <w:pPr>
        <w:widowControl w:val="0"/>
        <w:autoSpaceDE w:val="0"/>
        <w:autoSpaceDN w:val="0"/>
        <w:spacing w:before="1" w:line="240" w:lineRule="auto"/>
        <w:ind w:left="-142" w:right="-188"/>
        <w:jc w:val="center"/>
        <w:rPr>
          <w:rFonts w:ascii="Titillium Web" w:eastAsia="Times New Roman" w:hAnsi="Titillium Web" w:cs="Times New Roman"/>
          <w:szCs w:val="24"/>
          <w:highlight w:val="yellow"/>
          <w:lang w:eastAsia="en-US"/>
        </w:rPr>
      </w:pPr>
    </w:p>
    <w:p w14:paraId="443757FC" w14:textId="77777777" w:rsidR="00182272" w:rsidRPr="002F194C" w:rsidRDefault="00182272" w:rsidP="00182272">
      <w:pPr>
        <w:widowControl w:val="0"/>
        <w:autoSpaceDE w:val="0"/>
        <w:autoSpaceDN w:val="0"/>
        <w:spacing w:before="1" w:line="240" w:lineRule="auto"/>
        <w:ind w:left="-142" w:right="-188"/>
        <w:jc w:val="center"/>
        <w:rPr>
          <w:rFonts w:ascii="Titillium Web" w:eastAsia="Times New Roman" w:hAnsi="Titillium Web" w:cs="Times New Roman"/>
          <w:szCs w:val="24"/>
          <w:lang w:eastAsia="en-US"/>
        </w:rPr>
      </w:pPr>
      <w:r w:rsidRPr="002F194C">
        <w:rPr>
          <w:rFonts w:ascii="Titillium Web" w:eastAsia="Times New Roman" w:hAnsi="Titillium Web" w:cs="Times New Roman"/>
          <w:szCs w:val="24"/>
          <w:lang w:eastAsia="en-US"/>
        </w:rPr>
        <w:t xml:space="preserve">Data: </w:t>
      </w:r>
      <w:r w:rsidRPr="002F194C">
        <w:rPr>
          <w:rFonts w:ascii="Titillium Web" w:eastAsia="Times New Roman" w:hAnsi="Titillium Web" w:cs="Times New Roman"/>
          <w:szCs w:val="24"/>
          <w:highlight w:val="lightGray"/>
          <w:lang w:eastAsia="en-US"/>
        </w:rPr>
        <w:t>[Inserire la data del Report]</w:t>
      </w:r>
      <w:r w:rsidRPr="002F194C">
        <w:rPr>
          <w:rFonts w:ascii="Titillium Web" w:eastAsia="Times New Roman" w:hAnsi="Titillium Web" w:cs="Times New Roman"/>
          <w:szCs w:val="24"/>
          <w:lang w:eastAsia="en-US"/>
        </w:rPr>
        <w:t xml:space="preserve"> </w:t>
      </w:r>
    </w:p>
    <w:p w14:paraId="1A372BA7" w14:textId="77777777" w:rsidR="00182272" w:rsidRPr="002F194C" w:rsidRDefault="00182272" w:rsidP="00182272">
      <w:pPr>
        <w:widowControl w:val="0"/>
        <w:autoSpaceDE w:val="0"/>
        <w:autoSpaceDN w:val="0"/>
        <w:spacing w:before="1" w:line="240" w:lineRule="auto"/>
        <w:ind w:left="-142" w:right="-188"/>
        <w:jc w:val="center"/>
        <w:rPr>
          <w:rFonts w:ascii="Titillium Web" w:eastAsia="Times New Roman" w:hAnsi="Titillium Web" w:cs="Times New Roman"/>
          <w:szCs w:val="24"/>
          <w:lang w:eastAsia="en-US"/>
        </w:rPr>
      </w:pPr>
    </w:p>
    <w:p w14:paraId="5192559F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360" w:lineRule="auto"/>
        <w:ind w:left="-142" w:right="-188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sz w:val="28"/>
          <w:szCs w:val="28"/>
        </w:rPr>
        <w:t xml:space="preserve">SOGGETTO ATTUATORE </w:t>
      </w:r>
      <w:r w:rsidRPr="002F194C">
        <w:rPr>
          <w:rFonts w:ascii="Titillium Web" w:hAnsi="Titillium Web" w:cs="Times New Roman"/>
          <w:b/>
          <w:color w:val="000000"/>
          <w:sz w:val="28"/>
          <w:szCs w:val="28"/>
        </w:rPr>
        <w:t>DELL’INTERVENTO</w:t>
      </w:r>
    </w:p>
    <w:p w14:paraId="75EB9830" w14:textId="77777777" w:rsidR="00182272" w:rsidRPr="002F194C" w:rsidRDefault="00182272" w:rsidP="00182272">
      <w:pPr>
        <w:pStyle w:val="Paragrafoelenco"/>
        <w:numPr>
          <w:ilvl w:val="0"/>
          <w:numId w:val="12"/>
        </w:numPr>
        <w:shd w:val="clear" w:color="auto" w:fill="FFFFFF" w:themeFill="background1"/>
        <w:spacing w:before="0" w:after="0" w:line="360" w:lineRule="auto"/>
        <w:ind w:left="-142" w:right="-188" w:firstLine="0"/>
        <w:rPr>
          <w:rFonts w:ascii="Titillium Web" w:eastAsia="Times New Roman" w:hAnsi="Titillium Web" w:cs="Times New Roman"/>
          <w:b/>
          <w:bCs/>
          <w:szCs w:val="24"/>
        </w:rPr>
      </w:pPr>
      <w:bookmarkStart w:id="0" w:name="_heading=h.wzt3jtgcw0b0" w:colFirst="0" w:colLast="0"/>
      <w:bookmarkEnd w:id="0"/>
      <w:r w:rsidRPr="002F194C">
        <w:rPr>
          <w:rFonts w:ascii="Titillium Web" w:eastAsia="Times New Roman" w:hAnsi="Titillium Web" w:cs="Times New Roman"/>
          <w:b/>
          <w:bCs/>
          <w:szCs w:val="24"/>
        </w:rPr>
        <w:t>SOGGETTO ATTUATORE:</w:t>
      </w:r>
      <w:r w:rsidRPr="002F194C">
        <w:rPr>
          <w:rFonts w:ascii="Titillium Web" w:hAnsi="Titillium Web" w:cs="Times New Roman"/>
        </w:rPr>
        <w:t xml:space="preserve"> rinvio ad </w:t>
      </w:r>
      <w:r w:rsidRPr="002F194C">
        <w:rPr>
          <w:rFonts w:ascii="Titillium Web" w:hAnsi="Titillium Web" w:cs="Times New Roman"/>
          <w:i/>
          <w:iCs/>
        </w:rPr>
        <w:t>Elenco Allegato comprensivo di CUP, N. identificativo controllo, N. identificativo Avviso Pubblico e Misura</w:t>
      </w:r>
      <w:r w:rsidRPr="002F194C">
        <w:rPr>
          <w:rFonts w:ascii="Titillium Web" w:hAnsi="Titillium Web" w:cs="Times New Roman"/>
        </w:rPr>
        <w:t xml:space="preserve"> (All. 1)</w:t>
      </w:r>
    </w:p>
    <w:p w14:paraId="6A3A6B10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360" w:lineRule="auto"/>
        <w:ind w:left="-142" w:right="-188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sz w:val="28"/>
          <w:szCs w:val="28"/>
        </w:rPr>
        <w:t>ANAGRAFICA CONTROLLO</w:t>
      </w:r>
    </w:p>
    <w:p w14:paraId="5E2A27CB" w14:textId="77777777" w:rsidR="00182272" w:rsidRPr="002F194C" w:rsidRDefault="00182272" w:rsidP="0018227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 xml:space="preserve">PERIODO DI RENDICONTAZIONE: </w:t>
      </w:r>
      <w:r w:rsidRPr="002F194C">
        <w:rPr>
          <w:rFonts w:ascii="Titillium Web" w:eastAsia="Times New Roman" w:hAnsi="Titillium Web" w:cs="Times New Roman"/>
          <w:szCs w:val="24"/>
          <w:highlight w:val="lightGray"/>
          <w:lang w:eastAsia="en-US"/>
        </w:rPr>
        <w:t>[Inserire il periodo di rendicontazione previsto da cronoprogramma]</w:t>
      </w:r>
    </w:p>
    <w:p w14:paraId="12456E91" w14:textId="77777777" w:rsidR="00182272" w:rsidRPr="002F194C" w:rsidRDefault="00182272" w:rsidP="0018227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 xml:space="preserve">MISURE CORRELATE: </w:t>
      </w:r>
      <w:r w:rsidRPr="002F194C">
        <w:rPr>
          <w:rFonts w:ascii="Titillium Web" w:eastAsia="Times New Roman" w:hAnsi="Titillium Web" w:cs="Times New Roman"/>
          <w:szCs w:val="24"/>
          <w:highlight w:val="lightGray"/>
          <w:lang w:eastAsia="en-US"/>
        </w:rPr>
        <w:t>[Inserire il riferimento alla misura oggetto di controllo]</w:t>
      </w:r>
    </w:p>
    <w:p w14:paraId="0CAF5FA9" w14:textId="77777777" w:rsidR="00182272" w:rsidRPr="002F194C" w:rsidRDefault="00182272" w:rsidP="0018227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ind w:left="-142" w:right="-188" w:firstLine="0"/>
        <w:jc w:val="both"/>
        <w:rPr>
          <w:rFonts w:ascii="Titillium Web" w:eastAsia="Times New Roman" w:hAnsi="Titillium Web" w:cs="Times New Roman"/>
          <w:color w:val="000000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 xml:space="preserve">ESTREMI VERBALE CAMPIONAMENTO: </w:t>
      </w:r>
      <w:r w:rsidRPr="002F194C">
        <w:rPr>
          <w:rFonts w:ascii="Titillium Web" w:eastAsia="Times New Roman" w:hAnsi="Titillium Web" w:cs="Times New Roman"/>
          <w:szCs w:val="24"/>
          <w:highlight w:val="lightGray"/>
          <w:lang w:eastAsia="en-US"/>
        </w:rPr>
        <w:t>[Inserire il riferimento al verbale di campionamento connesso alla procedura di controllo]</w:t>
      </w:r>
    </w:p>
    <w:p w14:paraId="3EF5859A" w14:textId="77777777" w:rsidR="00182272" w:rsidRPr="002F194C" w:rsidRDefault="00182272" w:rsidP="00182272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ind w:left="-142" w:right="-188" w:firstLine="0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>OGGETTO DEL CONTROLLO:</w:t>
      </w:r>
      <w:r w:rsidRPr="002F194C">
        <w:rPr>
          <w:rFonts w:ascii="Titillium Web" w:hAnsi="Titillium Web" w:cs="Times New Roman"/>
          <w:szCs w:val="24"/>
        </w:rPr>
        <w:t xml:space="preserve"> dichiarazioni sostitutive di certificazione ed atto notorio rese ai sensi e per gli effetti del D.P.R. n. 445/2000 e in particolare l’assenza del conflitto d’interessi e del doppio finanziamento, il rispetto del principio orizzontale del DNSH ai sensi dell’articolo 17 del Regolamento (UE) 2020/852, la corretta rilevazione del titolare effettivo ed infine il rispetto degli obblighi di comunicazione.</w:t>
      </w:r>
    </w:p>
    <w:p w14:paraId="6C13290E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42" w:right="-188"/>
        <w:jc w:val="both"/>
        <w:rPr>
          <w:rFonts w:ascii="Titillium Web" w:hAnsi="Titillium Web" w:cs="Times New Roman"/>
          <w:highlight w:val="yellow"/>
        </w:rPr>
      </w:pPr>
    </w:p>
    <w:p w14:paraId="361ADC32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ind w:left="-142" w:right="-188"/>
        <w:jc w:val="center"/>
        <w:rPr>
          <w:rFonts w:ascii="Titillium Web" w:eastAsia="Times New Roman" w:hAnsi="Titillium Web" w:cs="Times New Roman"/>
          <w:b/>
        </w:rPr>
      </w:pPr>
      <w:r w:rsidRPr="002F194C">
        <w:rPr>
          <w:rFonts w:ascii="Titillium Web" w:hAnsi="Titillium Web" w:cs="Times New Roman"/>
          <w:b/>
          <w:sz w:val="28"/>
          <w:szCs w:val="28"/>
        </w:rPr>
        <w:t>CONTENUTI DEL RAPPORTO</w:t>
      </w:r>
    </w:p>
    <w:p w14:paraId="3F7E4966" w14:textId="77777777" w:rsidR="00182272" w:rsidRPr="002F194C" w:rsidRDefault="00182272" w:rsidP="0018227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00" w:after="160"/>
        <w:ind w:left="-142" w:right="-188" w:firstLine="0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 xml:space="preserve">ASPETTI PRINCIPALI DELLA VERIFICA E MODALITA’ DI SVOLGIMENTO </w:t>
      </w:r>
    </w:p>
    <w:p w14:paraId="6AD2A2B9" w14:textId="77777777" w:rsidR="00182272" w:rsidRPr="002F194C" w:rsidRDefault="00182272" w:rsidP="00182272">
      <w:pPr>
        <w:pStyle w:val="Paragrafoelenco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160"/>
        <w:ind w:left="-142" w:right="-188" w:firstLine="0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lastRenderedPageBreak/>
        <w:t xml:space="preserve">Premessa </w:t>
      </w:r>
    </w:p>
    <w:p w14:paraId="2DB976CA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 w:hanging="142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</w:rPr>
        <w:tab/>
      </w:r>
      <w:r w:rsidRPr="002F194C">
        <w:rPr>
          <w:rFonts w:ascii="Titillium Web" w:eastAsia="Times New Roman" w:hAnsi="Titillium Web" w:cs="Times New Roman"/>
          <w:szCs w:val="24"/>
        </w:rPr>
        <w:t>Allo scopo di tutelare gli interessi finanziari dell’Unione Europea e per garantire che l’utilizzo dei fondi in relazione alle misure sostenute dal PNRR sia conforme al diritto comunitario e nazionale applicabile, la gestione di milestone e target (per brevità anche M&amp;T) è accompagnata da un efficiente sistema di controlli che tiene conto dei principi di semplificazione, efficacia e flessibilità.</w:t>
      </w:r>
    </w:p>
    <w:p w14:paraId="3F0EE64B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Tali verifiche, consistono in controlli amministrativo-documentali “desk” combinati, ove ritenuto opportuno, con approfondimenti “in loco” presso i Servizi di gestione e/o i Soggetti Attuatori e sono finalizzate ad accertare il rispetto di uno o più dei seguenti principali aspetti, applicabili in considerazione delle diverse tipologie di iniziative:</w:t>
      </w:r>
    </w:p>
    <w:p w14:paraId="39A5ACF4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l’assenza del doppio finanziamento;</w:t>
      </w:r>
    </w:p>
    <w:p w14:paraId="23E8E116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l’assenza di conflitti di interessi;</w:t>
      </w:r>
    </w:p>
    <w:p w14:paraId="380FD7AB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l’individuazione del titolare effettivo;</w:t>
      </w:r>
    </w:p>
    <w:p w14:paraId="52D18A52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la regolare applicazione delle procedure per l’adozione e rendicontazione dei costi in caso di Opzioni semplificate in materia di costi (OSC);</w:t>
      </w:r>
    </w:p>
    <w:p w14:paraId="4BB44567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 xml:space="preserve">il rispetto del principio orizzontale del “Do No </w:t>
      </w:r>
      <w:proofErr w:type="spellStart"/>
      <w:r w:rsidRPr="002F194C">
        <w:rPr>
          <w:rFonts w:ascii="Titillium Web" w:eastAsia="Times New Roman" w:hAnsi="Titillium Web" w:cs="Times New Roman"/>
          <w:szCs w:val="24"/>
        </w:rPr>
        <w:t>Significant</w:t>
      </w:r>
      <w:proofErr w:type="spellEnd"/>
      <w:r w:rsidRPr="002F194C">
        <w:rPr>
          <w:rFonts w:ascii="Titillium Web" w:eastAsia="Times New Roman" w:hAnsi="Titillium Web" w:cs="Times New Roman"/>
          <w:szCs w:val="24"/>
        </w:rPr>
        <w:t xml:space="preserve"> Harm” (DNSH);</w:t>
      </w:r>
    </w:p>
    <w:p w14:paraId="5DD7638C" w14:textId="77777777" w:rsidR="00182272" w:rsidRPr="002F194C" w:rsidRDefault="00182272" w:rsidP="00182272">
      <w:pPr>
        <w:pStyle w:val="Paragrafoelenco"/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</w:p>
    <w:p w14:paraId="2B12D79D" w14:textId="77777777" w:rsidR="00182272" w:rsidRPr="002F194C" w:rsidRDefault="00182272" w:rsidP="00182272">
      <w:pPr>
        <w:pStyle w:val="Paragrafoelenco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160"/>
        <w:ind w:left="-142" w:right="-188" w:firstLine="0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 xml:space="preserve">Ambito e contesto di riferimento </w:t>
      </w:r>
    </w:p>
    <w:p w14:paraId="0CE66F24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Le verifiche amministrativo-documentali on-desk/on-field e le pertinenti attività di controllo, sono affidate al Servizio 3, Unità 3.3, e ripartite al suo interno tra i componenti degli appositi Team di controllo preposti all’attività in oggetto.</w:t>
      </w:r>
    </w:p>
    <w:p w14:paraId="7F426807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Terminate le procedure preliminari all’attività di controllo (ad es. verbale di estrazione del campione e comunicazione della lettera avvio verifiche), sulla base della documentazione reperita tramite il fascicolo elettronico di progetto presente in PaDigitale2026, tramite il repository digitale dell’</w:t>
      </w:r>
      <w:proofErr w:type="spellStart"/>
      <w:r w:rsidRPr="002F194C">
        <w:rPr>
          <w:rFonts w:ascii="Titillium Web" w:eastAsia="Times New Roman" w:hAnsi="Titillium Web" w:cs="Times New Roman"/>
          <w:szCs w:val="24"/>
        </w:rPr>
        <w:t>UdM</w:t>
      </w:r>
      <w:proofErr w:type="spellEnd"/>
      <w:r w:rsidRPr="002F194C">
        <w:rPr>
          <w:rFonts w:ascii="Titillium Web" w:eastAsia="Times New Roman" w:hAnsi="Titillium Web" w:cs="Times New Roman"/>
          <w:szCs w:val="24"/>
        </w:rPr>
        <w:t xml:space="preserve"> ed eventualmente integrata dal competente Servizio di Gestione/Soggetto Attuatore, il Team procede alla compilazione delle apposite Check-list, finalizzate ad accertare i punti di controllo come descritti in precedenza. Al termine della compilazione delle Check-list, il Team procede all’analisi delle risultanze mediante la predisposizione di un report definitivo.</w:t>
      </w:r>
    </w:p>
    <w:p w14:paraId="319DDE56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 xml:space="preserve">Il Team di controllo preposto all’attività di cui al presente report è stato nominato con atto </w:t>
      </w:r>
      <w:r w:rsidRPr="002F194C">
        <w:rPr>
          <w:rFonts w:ascii="Titillium Web" w:hAnsi="Titillium Web" w:cs="Times New Roman"/>
          <w:color w:val="000000" w:themeColor="text1"/>
          <w:szCs w:val="24"/>
        </w:rPr>
        <w:t xml:space="preserve">n. 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[inserire estremi atto di nomina del team di controllo incaricato]</w:t>
      </w:r>
      <w:r w:rsidRPr="002F194C">
        <w:rPr>
          <w:rFonts w:ascii="Titillium Web" w:hAnsi="Titillium Web" w:cs="Times New Roman"/>
          <w:color w:val="000000" w:themeColor="text1"/>
          <w:szCs w:val="24"/>
        </w:rPr>
        <w:t xml:space="preserve"> del 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[inserire data di nomina del team di controllo incaricato]</w:t>
      </w:r>
      <w:r w:rsidRPr="002F194C">
        <w:rPr>
          <w:rFonts w:ascii="Titillium Web" w:eastAsia="Times New Roman" w:hAnsi="Titillium Web" w:cs="Times New Roman"/>
          <w:szCs w:val="24"/>
        </w:rPr>
        <w:t xml:space="preserve">ed è composto da: 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[inserire nominativi del team di controllo incaricato]</w:t>
      </w:r>
      <w:r w:rsidRPr="002F194C">
        <w:rPr>
          <w:rFonts w:ascii="Titillium Web" w:eastAsia="Times New Roman" w:hAnsi="Titillium Web" w:cs="Times New Roman"/>
          <w:szCs w:val="24"/>
        </w:rPr>
        <w:t xml:space="preserve">. Tutti i membri del Team hanno rilasciato apposita DSAN sulla insussistenza di conflitto di interessi. </w:t>
      </w:r>
    </w:p>
    <w:p w14:paraId="10676495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</w:p>
    <w:p w14:paraId="698A6BB6" w14:textId="77777777" w:rsidR="00182272" w:rsidRPr="002F194C" w:rsidRDefault="00182272" w:rsidP="00182272">
      <w:pPr>
        <w:pStyle w:val="Paragrafoelenco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160"/>
        <w:ind w:left="-142" w:right="-188" w:firstLine="0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>La selezione delle operazioni oggetto di controllo: la metodologia applicata alle operazioni finanziate a Lump Sum</w:t>
      </w:r>
    </w:p>
    <w:p w14:paraId="7E531F2C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cs="Times New Roman"/>
          <w:szCs w:val="24"/>
        </w:rPr>
      </w:pPr>
      <w:r w:rsidRPr="002F194C">
        <w:rPr>
          <w:rFonts w:ascii="Titillium Web" w:hAnsi="Titillium Web" w:cs="Times New Roman"/>
          <w:szCs w:val="24"/>
        </w:rPr>
        <w:t>L’approccio metodologico utilizzato dal Servizio 3, in conformità a quanto previsto dalla vigente versione del “</w:t>
      </w:r>
      <w:r w:rsidRPr="002F194C">
        <w:rPr>
          <w:rFonts w:ascii="Titillium Web" w:hAnsi="Titillium Web" w:cs="Times New Roman"/>
          <w:i/>
          <w:iCs/>
          <w:szCs w:val="24"/>
        </w:rPr>
        <w:t>Manuale dei Controlli per le verifiche sulle operazioni e a supporto della rendicontazione semestrale di Milestone e Target</w:t>
      </w:r>
      <w:r w:rsidRPr="002F194C">
        <w:rPr>
          <w:rFonts w:ascii="Titillium Web" w:hAnsi="Titillium Web" w:cs="Times New Roman"/>
          <w:szCs w:val="24"/>
        </w:rPr>
        <w:t xml:space="preserve">”, allegato alla versione </w:t>
      </w:r>
      <w:r w:rsidRPr="002F194C">
        <w:rPr>
          <w:rFonts w:ascii="Titillium Web" w:hAnsi="Titillium Web" w:cs="Times New Roman"/>
          <w:szCs w:val="24"/>
          <w:highlight w:val="lightGray"/>
        </w:rPr>
        <w:t xml:space="preserve">[inserire versione vigente del </w:t>
      </w:r>
      <w:proofErr w:type="spellStart"/>
      <w:r w:rsidRPr="002F194C">
        <w:rPr>
          <w:rFonts w:ascii="Titillium Web" w:hAnsi="Titillium Web" w:cs="Times New Roman"/>
          <w:szCs w:val="24"/>
          <w:highlight w:val="lightGray"/>
        </w:rPr>
        <w:t>Si</w:t>
      </w:r>
      <w:r>
        <w:rPr>
          <w:rFonts w:ascii="Titillium Web" w:hAnsi="Titillium Web" w:cs="Times New Roman"/>
          <w:szCs w:val="24"/>
          <w:highlight w:val="lightGray"/>
        </w:rPr>
        <w:t>.</w:t>
      </w:r>
      <w:r w:rsidRPr="002F194C">
        <w:rPr>
          <w:rFonts w:ascii="Titillium Web" w:hAnsi="Titillium Web" w:cs="Times New Roman"/>
          <w:szCs w:val="24"/>
          <w:highlight w:val="lightGray"/>
        </w:rPr>
        <w:t>Ge</w:t>
      </w:r>
      <w:r>
        <w:rPr>
          <w:rFonts w:ascii="Titillium Web" w:hAnsi="Titillium Web" w:cs="Times New Roman"/>
          <w:szCs w:val="24"/>
          <w:highlight w:val="lightGray"/>
        </w:rPr>
        <w:t>.</w:t>
      </w:r>
      <w:r w:rsidRPr="002F194C">
        <w:rPr>
          <w:rFonts w:ascii="Titillium Web" w:hAnsi="Titillium Web" w:cs="Times New Roman"/>
          <w:szCs w:val="24"/>
          <w:highlight w:val="lightGray"/>
        </w:rPr>
        <w:t>Co</w:t>
      </w:r>
      <w:proofErr w:type="spellEnd"/>
      <w:r>
        <w:rPr>
          <w:rFonts w:ascii="Titillium Web" w:hAnsi="Titillium Web" w:cs="Times New Roman"/>
          <w:szCs w:val="24"/>
          <w:highlight w:val="lightGray"/>
        </w:rPr>
        <w:t>.</w:t>
      </w:r>
      <w:r w:rsidRPr="002F194C">
        <w:rPr>
          <w:rFonts w:ascii="Titillium Web" w:hAnsi="Titillium Web" w:cs="Times New Roman"/>
          <w:szCs w:val="24"/>
          <w:highlight w:val="lightGray"/>
        </w:rPr>
        <w:t>]</w:t>
      </w:r>
      <w:r w:rsidRPr="002F194C">
        <w:rPr>
          <w:rFonts w:ascii="Titillium Web" w:hAnsi="Titillium Web" w:cs="Times New Roman"/>
          <w:szCs w:val="24"/>
        </w:rPr>
        <w:t xml:space="preserve"> del </w:t>
      </w:r>
      <w:proofErr w:type="spellStart"/>
      <w:r w:rsidRPr="002F194C">
        <w:rPr>
          <w:rFonts w:ascii="Titillium Web" w:hAnsi="Titillium Web" w:cs="Times New Roman"/>
          <w:szCs w:val="24"/>
        </w:rPr>
        <w:t>Si</w:t>
      </w:r>
      <w:r>
        <w:rPr>
          <w:rFonts w:ascii="Titillium Web" w:hAnsi="Titillium Web" w:cs="Times New Roman"/>
          <w:szCs w:val="24"/>
        </w:rPr>
        <w:t>.</w:t>
      </w:r>
      <w:r w:rsidRPr="002F194C">
        <w:rPr>
          <w:rFonts w:ascii="Titillium Web" w:hAnsi="Titillium Web" w:cs="Times New Roman"/>
          <w:szCs w:val="24"/>
        </w:rPr>
        <w:t>Ge</w:t>
      </w:r>
      <w:r>
        <w:rPr>
          <w:rFonts w:ascii="Titillium Web" w:hAnsi="Titillium Web" w:cs="Times New Roman"/>
          <w:szCs w:val="24"/>
        </w:rPr>
        <w:t>.</w:t>
      </w:r>
      <w:r w:rsidRPr="002F194C">
        <w:rPr>
          <w:rFonts w:ascii="Titillium Web" w:hAnsi="Titillium Web" w:cs="Times New Roman"/>
          <w:szCs w:val="24"/>
        </w:rPr>
        <w:t>Co</w:t>
      </w:r>
      <w:proofErr w:type="spellEnd"/>
      <w:r>
        <w:rPr>
          <w:rFonts w:ascii="Titillium Web" w:hAnsi="Titillium Web" w:cs="Times New Roman"/>
          <w:szCs w:val="24"/>
        </w:rPr>
        <w:t>.</w:t>
      </w:r>
      <w:r w:rsidRPr="002F194C">
        <w:rPr>
          <w:rFonts w:ascii="Titillium Web" w:hAnsi="Titillium Web" w:cs="Times New Roman"/>
          <w:szCs w:val="24"/>
        </w:rPr>
        <w:t xml:space="preserve">, </w:t>
      </w:r>
      <w:r w:rsidRPr="002F194C">
        <w:rPr>
          <w:rFonts w:ascii="Titillium Web" w:hAnsi="Titillium Web" w:cs="Times New Roman"/>
          <w:szCs w:val="24"/>
          <w:highlight w:val="lightGray"/>
        </w:rPr>
        <w:t xml:space="preserve">nonché dalle </w:t>
      </w:r>
      <w:r w:rsidRPr="002F194C">
        <w:rPr>
          <w:rFonts w:ascii="Titillium Web" w:hAnsi="Titillium Web" w:cs="Times New Roman"/>
          <w:i/>
          <w:iCs/>
          <w:szCs w:val="24"/>
          <w:highlight w:val="lightGray"/>
        </w:rPr>
        <w:t>“Istruzioni Applicative per il campionamento dei Progetti con rendicontazione a “Lump Sum””</w:t>
      </w:r>
      <w:r w:rsidRPr="002F194C">
        <w:rPr>
          <w:rFonts w:ascii="Titillium Web" w:hAnsi="Titillium Web" w:cs="Times New Roman"/>
          <w:szCs w:val="24"/>
          <w:highlight w:val="lightGray"/>
        </w:rPr>
        <w:t xml:space="preserve"> – prot. Int. n.60 del 22/07/2024,</w:t>
      </w:r>
      <w:r w:rsidRPr="002F194C">
        <w:rPr>
          <w:rFonts w:ascii="Titillium Web" w:hAnsi="Titillium Web" w:cs="Times New Roman"/>
          <w:szCs w:val="24"/>
        </w:rPr>
        <w:t xml:space="preserve"> ha tenuto conto dei seguenti aspetti:</w:t>
      </w:r>
    </w:p>
    <w:p w14:paraId="55DFD711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  <w:highlight w:val="lightGray"/>
        </w:rPr>
      </w:pPr>
      <w:r w:rsidRPr="002F194C">
        <w:rPr>
          <w:rFonts w:ascii="Titillium Web" w:eastAsia="Times New Roman" w:hAnsi="Titillium Web" w:cs="Times New Roman"/>
          <w:szCs w:val="24"/>
          <w:highlight w:val="lightGray"/>
        </w:rPr>
        <w:t>estrazione dei dati dal Sistema Informativo SAP IGRUE con l’ausilio del Sistema Informativo Genius 3, nello specifico, dei pagamenti afferenti ai progetti finanziati nell’ambito del PNRR c.d. a Lump Sum, nel periodo di riferimento (campagne di controllo semestrali);</w:t>
      </w:r>
    </w:p>
    <w:p w14:paraId="074A793A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  <w:highlight w:val="lightGray"/>
        </w:rPr>
      </w:pPr>
      <w:r w:rsidRPr="002F194C">
        <w:rPr>
          <w:rFonts w:ascii="Titillium Web" w:eastAsia="Times New Roman" w:hAnsi="Titillium Web" w:cs="Times New Roman"/>
          <w:szCs w:val="24"/>
          <w:highlight w:val="lightGray"/>
        </w:rPr>
        <w:t>definizione degli universi rappresentati dai pagamenti estratti raggruppati per misura;</w:t>
      </w:r>
    </w:p>
    <w:p w14:paraId="4F195593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  <w:highlight w:val="lightGray"/>
        </w:rPr>
      </w:pPr>
      <w:r w:rsidRPr="002F194C">
        <w:rPr>
          <w:rFonts w:ascii="Titillium Web" w:eastAsia="Times New Roman" w:hAnsi="Titillium Web" w:cs="Times New Roman"/>
          <w:szCs w:val="24"/>
          <w:highlight w:val="lightGray"/>
        </w:rPr>
        <w:t xml:space="preserve">per ciascun universo/misura, costituito dai trasferimenti verso i Soggetti Attuatori beneficiari di finanziamenti su base semestrale, estrazione, dalla piattaforma Arachne, dei progetti associati al fine di attribuire a ciascun </w:t>
      </w:r>
      <w:r w:rsidRPr="002F194C">
        <w:rPr>
          <w:rFonts w:ascii="Titillium Web" w:eastAsia="Times New Roman" w:hAnsi="Titillium Web" w:cs="Times New Roman"/>
          <w:i/>
          <w:iCs/>
          <w:szCs w:val="24"/>
          <w:highlight w:val="lightGray"/>
        </w:rPr>
        <w:t xml:space="preserve">item 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 xml:space="preserve">un coefficiente di rischio; </w:t>
      </w:r>
    </w:p>
    <w:p w14:paraId="19F4C863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  <w:highlight w:val="lightGray"/>
        </w:rPr>
      </w:pPr>
      <w:r w:rsidRPr="002F194C">
        <w:rPr>
          <w:rFonts w:ascii="Titillium Web" w:eastAsia="Times New Roman" w:hAnsi="Titillium Web" w:cs="Times New Roman"/>
          <w:szCs w:val="24"/>
          <w:highlight w:val="lightGray"/>
        </w:rPr>
        <w:t xml:space="preserve">selezione per ogni universo, dei singoli </w:t>
      </w:r>
      <w:r w:rsidRPr="002F194C">
        <w:rPr>
          <w:rFonts w:ascii="Titillium Web" w:eastAsia="Times New Roman" w:hAnsi="Titillium Web" w:cs="Times New Roman"/>
          <w:i/>
          <w:iCs/>
          <w:szCs w:val="24"/>
          <w:highlight w:val="lightGray"/>
        </w:rPr>
        <w:t xml:space="preserve">item 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con ID progressivo utilizzando quale criterio primario il valore di rischio complessivo e quale criterio secondario, in caso di parità di rischio, la data di pagamento, dalla più remota alla più recente;</w:t>
      </w:r>
    </w:p>
    <w:p w14:paraId="5EB84B97" w14:textId="77777777" w:rsidR="00182272" w:rsidRPr="002F194C" w:rsidRDefault="00182272" w:rsidP="00182272">
      <w:pPr>
        <w:pStyle w:val="Paragrafoelenco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  <w:highlight w:val="lightGray"/>
        </w:rPr>
        <w:t>estrazione del campione statistico ovvero discrezionale</w:t>
      </w:r>
      <w:r w:rsidRPr="002F194C">
        <w:rPr>
          <w:rFonts w:ascii="Titillium Web" w:eastAsia="Times New Roman" w:hAnsi="Titillium Web" w:cs="Times New Roman"/>
          <w:szCs w:val="24"/>
        </w:rPr>
        <w:t>.</w:t>
      </w:r>
    </w:p>
    <w:p w14:paraId="5F38C096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Nell’ambito del campione estratto per la misura [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inserire riferimento alla misura campionata</w:t>
      </w:r>
      <w:r w:rsidRPr="002F194C">
        <w:rPr>
          <w:rFonts w:ascii="Titillium Web" w:eastAsia="Times New Roman" w:hAnsi="Titillium Web" w:cs="Times New Roman"/>
          <w:szCs w:val="24"/>
        </w:rPr>
        <w:t>], con verbale di campionamento di cui alla sezione Anagrafica di Controllo del presente Report, risultano essere presenti le operazioni riportate nell’Allegato 1.</w:t>
      </w:r>
    </w:p>
    <w:p w14:paraId="1F412771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</w:p>
    <w:p w14:paraId="2192D193" w14:textId="77777777" w:rsidR="00182272" w:rsidRPr="002F194C" w:rsidRDefault="00182272" w:rsidP="00182272">
      <w:pPr>
        <w:pStyle w:val="Paragrafoelenco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160"/>
        <w:ind w:left="-142" w:right="-188" w:firstLine="0"/>
        <w:jc w:val="both"/>
        <w:rPr>
          <w:rFonts w:ascii="Titillium Web" w:eastAsia="Times New Roman" w:hAnsi="Titillium Web" w:cs="Times New Roman"/>
          <w:b/>
          <w:bCs/>
          <w:szCs w:val="24"/>
          <w:lang w:val="it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  <w:lang w:val="it"/>
        </w:rPr>
        <w:t xml:space="preserve">Svolgimento del controllo </w:t>
      </w:r>
    </w:p>
    <w:p w14:paraId="187EBEBC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 xml:space="preserve">Con comunicazione del 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[inserire data della comunicazione di avvio del controllo]</w:t>
      </w:r>
      <w:r w:rsidRPr="002F194C">
        <w:rPr>
          <w:rFonts w:ascii="Titillium Web" w:eastAsia="Times New Roman" w:hAnsi="Titillium Web" w:cs="Times New Roman"/>
          <w:szCs w:val="24"/>
        </w:rPr>
        <w:t xml:space="preserve">, attraverso l’utilizzo della piattaforma </w:t>
      </w:r>
      <w:proofErr w:type="spellStart"/>
      <w:r w:rsidRPr="002F194C">
        <w:rPr>
          <w:rFonts w:ascii="Titillium Web" w:eastAsia="Times New Roman" w:hAnsi="Titillium Web" w:cs="Times New Roman"/>
          <w:szCs w:val="24"/>
        </w:rPr>
        <w:t>PaDigitale</w:t>
      </w:r>
      <w:proofErr w:type="spellEnd"/>
      <w:r w:rsidRPr="002F194C">
        <w:rPr>
          <w:rFonts w:ascii="Titillium Web" w:eastAsia="Times New Roman" w:hAnsi="Titillium Web" w:cs="Times New Roman"/>
          <w:szCs w:val="24"/>
        </w:rPr>
        <w:t xml:space="preserve"> 2026, il Coordinatore del Servizio 3 ha reso noto alle PA Target l’avvio dell’attività di controllo sulle operazioni “</w:t>
      </w:r>
      <w:r w:rsidRPr="002F194C">
        <w:rPr>
          <w:rFonts w:ascii="Titillium Web" w:eastAsia="Times New Roman" w:hAnsi="Titillium Web" w:cs="Times New Roman"/>
          <w:i/>
          <w:iCs/>
          <w:szCs w:val="24"/>
        </w:rPr>
        <w:t>a Lump Sum</w:t>
      </w:r>
      <w:r w:rsidRPr="002F194C">
        <w:rPr>
          <w:rFonts w:ascii="Titillium Web" w:eastAsia="Times New Roman" w:hAnsi="Titillium Web" w:cs="Times New Roman"/>
          <w:szCs w:val="24"/>
        </w:rPr>
        <w:t>”, per cui gli Enti hanno concorso al finanziamento. Con la stessa comunicazione il Servizio 3 ha indicato la composizione del team di controllo e richiesto la documentazione necessaria allo svolgimento dei controlli.</w:t>
      </w:r>
    </w:p>
    <w:p w14:paraId="5167ECF7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 xml:space="preserve">Nel dettaglio le operazioni soggette a campionamento e verificate in questa sede sono n. 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[inserire n. di operazioni presenti nell’Allegato 1]</w:t>
      </w:r>
      <w:r w:rsidRPr="002F194C">
        <w:rPr>
          <w:rFonts w:ascii="Titillium Web" w:eastAsia="Times New Roman" w:hAnsi="Titillium Web" w:cs="Times New Roman"/>
          <w:szCs w:val="24"/>
        </w:rPr>
        <w:t xml:space="preserve"> elencate nell’Allegato 1, parte integrante del presente verbale.</w:t>
      </w:r>
    </w:p>
    <w:p w14:paraId="1AFAA230" w14:textId="77777777" w:rsidR="00182272" w:rsidRPr="002F194C" w:rsidRDefault="00182272" w:rsidP="00182272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lastRenderedPageBreak/>
        <w:t>La documentazione consultata è stata acquisita ed archiviata nelle cartelle condivise nel repository digitale in uso presso questa Unità di Missione.</w:t>
      </w:r>
    </w:p>
    <w:p w14:paraId="1C2CD8D7" w14:textId="77777777" w:rsidR="00182272" w:rsidRPr="002F194C" w:rsidRDefault="00182272" w:rsidP="0018227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00" w:after="160"/>
        <w:ind w:left="-142" w:right="-188" w:firstLine="0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>ANALISI DELLE RISULTANZE EMERSE IN FASE DI CONTROLLO CON APPLICAZIONE DELLA RELATIVA CHECK-LIST</w:t>
      </w:r>
    </w:p>
    <w:p w14:paraId="7F877BEE" w14:textId="77777777" w:rsidR="00182272" w:rsidRPr="002F194C" w:rsidRDefault="00182272" w:rsidP="00182272">
      <w:pPr>
        <w:pStyle w:val="Paragrafoelenco"/>
        <w:spacing w:before="200"/>
        <w:ind w:left="-142" w:right="-188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>2.1.  Check-list verifica desk degli interventi Lump Sum</w:t>
      </w:r>
    </w:p>
    <w:p w14:paraId="0BAA52C6" w14:textId="77777777" w:rsidR="00182272" w:rsidRPr="002F194C" w:rsidRDefault="00182272" w:rsidP="00182272">
      <w:pPr>
        <w:pStyle w:val="Paragrafoelenco"/>
        <w:spacing w:before="200"/>
        <w:ind w:left="-142" w:right="-188"/>
        <w:jc w:val="both"/>
        <w:rPr>
          <w:rFonts w:ascii="Titillium Web" w:eastAsia="Times New Roman" w:hAnsi="Titillium Web" w:cs="Times New Roman"/>
          <w:b/>
          <w:bCs/>
          <w:szCs w:val="24"/>
        </w:rPr>
      </w:pPr>
    </w:p>
    <w:p w14:paraId="20362C68" w14:textId="77777777" w:rsidR="00182272" w:rsidRPr="002F194C" w:rsidRDefault="00182272" w:rsidP="00182272">
      <w:pPr>
        <w:pStyle w:val="Paragrafoelenco"/>
        <w:spacing w:before="200"/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I punti di controllo oggetto di verifica sono stati i seguenti:</w:t>
      </w:r>
    </w:p>
    <w:p w14:paraId="59524747" w14:textId="77777777" w:rsidR="00182272" w:rsidRPr="002F194C" w:rsidRDefault="00182272" w:rsidP="00182272">
      <w:pPr>
        <w:pStyle w:val="Paragrafoelenco"/>
        <w:spacing w:before="200"/>
        <w:ind w:left="-142" w:right="-188"/>
        <w:jc w:val="both"/>
        <w:rPr>
          <w:rFonts w:ascii="Titillium Web" w:eastAsia="Times New Roman" w:hAnsi="Titillium Web" w:cs="Times New Roman"/>
          <w:szCs w:val="24"/>
        </w:rPr>
      </w:pPr>
    </w:p>
    <w:tbl>
      <w:tblPr>
        <w:tblStyle w:val="TableNormal1"/>
        <w:tblW w:w="9923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969"/>
        <w:gridCol w:w="4253"/>
      </w:tblGrid>
      <w:tr w:rsidR="00182272" w:rsidRPr="002F194C" w14:paraId="2EB676BF" w14:textId="77777777" w:rsidTr="00457309">
        <w:trPr>
          <w:trHeight w:val="1190"/>
        </w:trPr>
        <w:tc>
          <w:tcPr>
            <w:tcW w:w="1701" w:type="dxa"/>
            <w:shd w:val="clear" w:color="auto" w:fill="E8E8E8" w:themeFill="background2"/>
          </w:tcPr>
          <w:p w14:paraId="44856328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  <w:bookmarkStart w:id="1" w:name="_Hlk172209787"/>
          </w:p>
          <w:p w14:paraId="4C39D2BE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  <w:r w:rsidRPr="002F194C">
              <w:rPr>
                <w:rFonts w:ascii="Titillium Web" w:hAnsi="Titillium Web"/>
                <w:b/>
                <w:sz w:val="20"/>
              </w:rPr>
              <w:t>Check</w:t>
            </w:r>
          </w:p>
        </w:tc>
        <w:tc>
          <w:tcPr>
            <w:tcW w:w="3969" w:type="dxa"/>
            <w:shd w:val="clear" w:color="auto" w:fill="E8E8E8" w:themeFill="background2"/>
          </w:tcPr>
          <w:p w14:paraId="61569B5D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14:paraId="52931E8B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sz w:val="20"/>
              </w:rPr>
            </w:pPr>
            <w:r w:rsidRPr="002F194C">
              <w:rPr>
                <w:rFonts w:ascii="Titillium Web" w:hAnsi="Titillium Web"/>
                <w:sz w:val="20"/>
              </w:rPr>
              <w:t>Punti di verifica</w:t>
            </w:r>
          </w:p>
        </w:tc>
        <w:tc>
          <w:tcPr>
            <w:tcW w:w="4253" w:type="dxa"/>
            <w:shd w:val="clear" w:color="auto" w:fill="E8E8E8" w:themeFill="background2"/>
          </w:tcPr>
          <w:p w14:paraId="71079994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sz w:val="20"/>
              </w:rPr>
            </w:pPr>
          </w:p>
          <w:p w14:paraId="4B9BAFDC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sz w:val="20"/>
              </w:rPr>
            </w:pPr>
            <w:r w:rsidRPr="002F194C">
              <w:rPr>
                <w:rFonts w:ascii="Titillium Web" w:hAnsi="Titillium Web"/>
                <w:sz w:val="20"/>
              </w:rPr>
              <w:t>Attività di verifica</w:t>
            </w:r>
          </w:p>
        </w:tc>
      </w:tr>
      <w:tr w:rsidR="00182272" w:rsidRPr="002F194C" w14:paraId="1E70EF75" w14:textId="77777777" w:rsidTr="00457309">
        <w:trPr>
          <w:trHeight w:val="480"/>
        </w:trPr>
        <w:tc>
          <w:tcPr>
            <w:tcW w:w="1701" w:type="dxa"/>
          </w:tcPr>
          <w:p w14:paraId="28F63F7A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A</w:t>
            </w:r>
          </w:p>
        </w:tc>
        <w:tc>
          <w:tcPr>
            <w:tcW w:w="3969" w:type="dxa"/>
          </w:tcPr>
          <w:p w14:paraId="09EDE6BE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generale</w:t>
            </w:r>
          </w:p>
        </w:tc>
        <w:tc>
          <w:tcPr>
            <w:tcW w:w="4253" w:type="dxa"/>
          </w:tcPr>
          <w:p w14:paraId="06B9BC14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  <w:spacing w:val="-2"/>
              </w:rPr>
              <w:t>L’analisi della documentazione relativa ai “Punti di verifica generale”, è stata finalizzata a verificare che il progetto sia stato ammesso per un importo forfettario previsto dalla Metodologia di calcolo dei costi - preventivamente approvata dal MEF - richiamata nell’Avviso pubblico e coerente con quanto previsto dall’Avviso medesimo.</w:t>
            </w:r>
            <w:r w:rsidRPr="002F194C">
              <w:rPr>
                <w:rFonts w:ascii="Titillium Web" w:hAnsi="Titillium Web"/>
                <w:szCs w:val="24"/>
              </w:rPr>
              <w:t xml:space="preserve"> </w:t>
            </w:r>
          </w:p>
        </w:tc>
      </w:tr>
      <w:tr w:rsidR="00182272" w:rsidRPr="002F194C" w14:paraId="2FA9FA69" w14:textId="77777777" w:rsidTr="00457309">
        <w:trPr>
          <w:trHeight w:val="480"/>
        </w:trPr>
        <w:tc>
          <w:tcPr>
            <w:tcW w:w="1701" w:type="dxa"/>
          </w:tcPr>
          <w:p w14:paraId="6D9F2B13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B</w:t>
            </w:r>
          </w:p>
        </w:tc>
        <w:tc>
          <w:tcPr>
            <w:tcW w:w="3969" w:type="dxa"/>
          </w:tcPr>
          <w:p w14:paraId="0E44745D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Punti di verifica sulla domanda di erogazione </w:t>
            </w:r>
          </w:p>
        </w:tc>
        <w:tc>
          <w:tcPr>
            <w:tcW w:w="4253" w:type="dxa"/>
          </w:tcPr>
          <w:p w14:paraId="7330BC05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5"/>
              </w:rPr>
            </w:pPr>
            <w:r w:rsidRPr="002F194C">
              <w:rPr>
                <w:rFonts w:ascii="Titillium Web" w:hAnsi="Titillium Web"/>
                <w:spacing w:val="-2"/>
              </w:rPr>
              <w:t>L’analisi della documentazione relativa ai “Punti di verifica sulla domanda di erogazione” è finalizzata a verificare che la domanda di erogazione sia stata regolarmente evasa e che il risultato rendicontato, giusta asseverazione, sia stato raggiunto prima dell’erogazione della somma forfettaria.</w:t>
            </w:r>
          </w:p>
        </w:tc>
      </w:tr>
      <w:tr w:rsidR="00182272" w:rsidRPr="002F194C" w14:paraId="5A786E11" w14:textId="77777777" w:rsidTr="00457309">
        <w:trPr>
          <w:trHeight w:val="480"/>
        </w:trPr>
        <w:tc>
          <w:tcPr>
            <w:tcW w:w="1701" w:type="dxa"/>
          </w:tcPr>
          <w:p w14:paraId="26F86BE2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C</w:t>
            </w:r>
          </w:p>
        </w:tc>
        <w:tc>
          <w:tcPr>
            <w:tcW w:w="3969" w:type="dxa"/>
          </w:tcPr>
          <w:p w14:paraId="234F797F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della conformità del prodotto/attività realizzata rispetto agli obiettivi di progetto</w:t>
            </w:r>
          </w:p>
        </w:tc>
        <w:tc>
          <w:tcPr>
            <w:tcW w:w="4253" w:type="dxa"/>
          </w:tcPr>
          <w:p w14:paraId="3AF4C00C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L’analisi della documentazione relativa ai “Punti di verifica della conformità del prodotto/attività realizzata rispetto agli obiettivi di progetto” </w:t>
            </w:r>
            <w:r w:rsidRPr="002F194C">
              <w:rPr>
                <w:rFonts w:ascii="Titillium Web" w:hAnsi="Titillium Web"/>
              </w:rPr>
              <w:t xml:space="preserve"> </w:t>
            </w:r>
            <w:r w:rsidRPr="002F194C">
              <w:rPr>
                <w:rFonts w:ascii="Titillium Web" w:hAnsi="Titillium Web"/>
                <w:spacing w:val="-2"/>
              </w:rPr>
              <w:t xml:space="preserve">è finalizzata a verificare il rispetto dei tempi di realizzazione previsti dagli atti di finanziamento e, nello specifico, che la realizzazione del servizio/fornitura –  attestata dall’asseverazione – si collochi tra </w:t>
            </w:r>
            <w:r w:rsidRPr="002F194C">
              <w:rPr>
                <w:rFonts w:ascii="Titillium Web" w:hAnsi="Titillium Web"/>
                <w:spacing w:val="-2"/>
              </w:rPr>
              <w:lastRenderedPageBreak/>
              <w:t>la data di ammissibilità e i termini previsti dal progetto.</w:t>
            </w:r>
          </w:p>
        </w:tc>
      </w:tr>
      <w:tr w:rsidR="00182272" w:rsidRPr="002F194C" w14:paraId="722E617E" w14:textId="77777777" w:rsidTr="00457309">
        <w:trPr>
          <w:trHeight w:val="480"/>
        </w:trPr>
        <w:tc>
          <w:tcPr>
            <w:tcW w:w="1701" w:type="dxa"/>
          </w:tcPr>
          <w:p w14:paraId="5923569E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lastRenderedPageBreak/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D</w:t>
            </w:r>
          </w:p>
        </w:tc>
        <w:tc>
          <w:tcPr>
            <w:tcW w:w="3969" w:type="dxa"/>
          </w:tcPr>
          <w:p w14:paraId="3BBEE070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Ulteriori punti di verifica:</w:t>
            </w:r>
          </w:p>
          <w:p w14:paraId="24B4F7E4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rispetto principio DNSH;</w:t>
            </w:r>
          </w:p>
          <w:p w14:paraId="4D969914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rispetto principio tagging climatico e tagging digitale;</w:t>
            </w:r>
          </w:p>
          <w:p w14:paraId="257B7766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rispetto principio protezione e valorizzazione dei giovani;</w:t>
            </w:r>
          </w:p>
          <w:p w14:paraId="0CA04373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rispetto dell’obbligo di pubblicità della provenienza dei fondi PNRR</w:t>
            </w:r>
          </w:p>
        </w:tc>
        <w:tc>
          <w:tcPr>
            <w:tcW w:w="4253" w:type="dxa"/>
          </w:tcPr>
          <w:p w14:paraId="7B483983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Il controllo ha riguardato la verifica sulla coerenza con la normativa del PNRR con particolare riferimento al principio DNSH, tagging climatico e tagging digitale, principi di parità di genere e protezione e valorizzazione dei giovani. </w:t>
            </w:r>
          </w:p>
          <w:p w14:paraId="1CD35346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Inoltre, sul rispetto di quanto previsto dal PNRR in materia di informazione e pubblicità, è stata analizzata la documentazione, allo scopo di verificare che il SA abbia rispettato quanto disciplinato ai sensi dell’art. 34 del Reg. (UE) 2021/241. </w:t>
            </w:r>
          </w:p>
        </w:tc>
      </w:tr>
      <w:tr w:rsidR="00182272" w:rsidRPr="002F194C" w14:paraId="32A1992B" w14:textId="77777777" w:rsidTr="00457309">
        <w:trPr>
          <w:trHeight w:val="480"/>
        </w:trPr>
        <w:tc>
          <w:tcPr>
            <w:tcW w:w="1701" w:type="dxa"/>
          </w:tcPr>
          <w:p w14:paraId="785F2065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E</w:t>
            </w:r>
          </w:p>
        </w:tc>
        <w:tc>
          <w:tcPr>
            <w:tcW w:w="3969" w:type="dxa"/>
          </w:tcPr>
          <w:p w14:paraId="746ACC08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sulle nomine/individuazione dei soggetti coinvolti a vario titolo nell’attuazione del progetto e sull’assenza del conflitto d’interessi</w:t>
            </w:r>
          </w:p>
        </w:tc>
        <w:tc>
          <w:tcPr>
            <w:tcW w:w="4253" w:type="dxa"/>
          </w:tcPr>
          <w:p w14:paraId="40224D29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L’attività di controllo ha riguardato le verifiche su:</w:t>
            </w:r>
          </w:p>
          <w:p w14:paraId="7EF6FA47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- comunicazione in merito all’individuazione del titolare effettivo secondo quanto disposto dall’art. 22 del regolamento UE 2021/241; </w:t>
            </w:r>
          </w:p>
          <w:p w14:paraId="63EC7492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nomine dei soggetti coinvolti a vario titolo nella realizzazione/attuazione del progetto (RUP/DEC/Sindaco/TE dell’Operatore Economico/Dirigente ecc.);</w:t>
            </w:r>
          </w:p>
          <w:p w14:paraId="0140EBC5" w14:textId="77777777" w:rsidR="00182272" w:rsidRPr="002F194C" w:rsidRDefault="00182272" w:rsidP="00457309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0"/>
              <w:ind w:left="92"/>
              <w:rPr>
                <w:rFonts w:ascii="Titillium Web" w:hAnsi="Titillium Web"/>
                <w:spacing w:val="-5"/>
              </w:rPr>
            </w:pPr>
            <w:r w:rsidRPr="002F194C">
              <w:rPr>
                <w:rFonts w:ascii="Titillium Web" w:hAnsi="Titillium Web"/>
                <w:spacing w:val="-2"/>
              </w:rPr>
              <w:t>- assenza di conflitto d’interessi del personale coinvolto e individuato, verificata attraverso la piattaforma Arachne con riferimento alle nomine dei soggetti coinvolti nel procedimento e alle loro dichiarazioni rese ai sensi del DPR n. 445/2000 (es. RUP/DEC; Dirigente -legale rappresentante; Sindaco del Comune; TE Soggetto Realizzatore ecc.).</w:t>
            </w:r>
          </w:p>
        </w:tc>
      </w:tr>
      <w:tr w:rsidR="00182272" w:rsidRPr="002F194C" w14:paraId="67A10288" w14:textId="77777777" w:rsidTr="00457309">
        <w:trPr>
          <w:trHeight w:val="480"/>
        </w:trPr>
        <w:tc>
          <w:tcPr>
            <w:tcW w:w="1701" w:type="dxa"/>
          </w:tcPr>
          <w:p w14:paraId="7C7DCDBA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F</w:t>
            </w:r>
          </w:p>
        </w:tc>
        <w:tc>
          <w:tcPr>
            <w:tcW w:w="3969" w:type="dxa"/>
          </w:tcPr>
          <w:p w14:paraId="014A4C60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sull’assenza del doppio finanziamento</w:t>
            </w:r>
          </w:p>
        </w:tc>
        <w:tc>
          <w:tcPr>
            <w:tcW w:w="4253" w:type="dxa"/>
          </w:tcPr>
          <w:p w14:paraId="1A60BB0C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L’attività di verifica è finalizzata a scongiurare l’esistenza di ipotesi di doppio finanziamento e  riguarda:</w:t>
            </w:r>
          </w:p>
          <w:p w14:paraId="0BF4695F" w14:textId="77777777" w:rsidR="00182272" w:rsidRPr="002F194C" w:rsidRDefault="00182272" w:rsidP="00182272">
            <w:pPr>
              <w:pStyle w:val="TableParagraph"/>
              <w:numPr>
                <w:ilvl w:val="2"/>
                <w:numId w:val="14"/>
              </w:numPr>
              <w:spacing w:before="90"/>
              <w:ind w:left="565" w:hanging="283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la consultazione del Report rilasciato dal Servizio 1 in esito alle verifiche del c.d. doppio finanziamento sui CUP;</w:t>
            </w:r>
          </w:p>
          <w:p w14:paraId="3A7B0E5B" w14:textId="77777777" w:rsidR="00182272" w:rsidRPr="002F194C" w:rsidRDefault="00182272" w:rsidP="00182272">
            <w:pPr>
              <w:pStyle w:val="TableParagraph"/>
              <w:numPr>
                <w:ilvl w:val="2"/>
                <w:numId w:val="14"/>
              </w:numPr>
              <w:spacing w:before="90"/>
              <w:ind w:left="565" w:hanging="283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l’acquisizione – in sede di avvio controllo </w:t>
            </w:r>
            <w:r w:rsidRPr="002F194C">
              <w:rPr>
                <w:rFonts w:ascii="Titillium Web" w:hAnsi="Titillium Web"/>
                <w:spacing w:val="-2"/>
              </w:rPr>
              <w:lastRenderedPageBreak/>
              <w:t>– di evidenze documentali idonee ad attestare la gestione separata di fondi PNRR con altri Fondi;</w:t>
            </w:r>
          </w:p>
          <w:p w14:paraId="1DE29B08" w14:textId="77777777" w:rsidR="00182272" w:rsidRPr="002F194C" w:rsidRDefault="00182272" w:rsidP="00182272">
            <w:pPr>
              <w:pStyle w:val="TableParagraph"/>
              <w:numPr>
                <w:ilvl w:val="2"/>
                <w:numId w:val="14"/>
              </w:numPr>
              <w:spacing w:before="90"/>
              <w:ind w:left="565" w:hanging="283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la consultazione delle piattaforme </w:t>
            </w:r>
            <w:proofErr w:type="spellStart"/>
            <w:r w:rsidRPr="74D4AD4F">
              <w:rPr>
                <w:rFonts w:ascii="Titillium Web" w:eastAsia="Titillium Web" w:hAnsi="Titillium Web" w:cs="Titillium Web"/>
              </w:rPr>
              <w:t>Re</w:t>
            </w:r>
            <w:r>
              <w:rPr>
                <w:rFonts w:ascii="Titillium Web" w:eastAsia="Titillium Web" w:hAnsi="Titillium Web" w:cs="Titillium Web"/>
              </w:rPr>
              <w:t>G</w:t>
            </w:r>
            <w:r w:rsidRPr="74D4AD4F">
              <w:rPr>
                <w:rFonts w:ascii="Titillium Web" w:eastAsia="Titillium Web" w:hAnsi="Titillium Web" w:cs="Titillium Web"/>
              </w:rPr>
              <w:t>i</w:t>
            </w:r>
            <w:r>
              <w:rPr>
                <w:rFonts w:ascii="Titillium Web" w:eastAsia="Titillium Web" w:hAnsi="Titillium Web" w:cs="Titillium Web"/>
              </w:rPr>
              <w:t>S</w:t>
            </w:r>
            <w:proofErr w:type="spellEnd"/>
            <w:r w:rsidRPr="002F194C">
              <w:rPr>
                <w:rFonts w:ascii="Titillium Web" w:hAnsi="Titillium Web"/>
                <w:spacing w:val="-2"/>
              </w:rPr>
              <w:t xml:space="preserve"> e Piaf. </w:t>
            </w:r>
          </w:p>
          <w:p w14:paraId="1962353C" w14:textId="77777777" w:rsidR="00182272" w:rsidRPr="002F194C" w:rsidRDefault="00182272" w:rsidP="00457309">
            <w:pPr>
              <w:pStyle w:val="TableParagraph"/>
              <w:spacing w:before="90"/>
              <w:ind w:left="282"/>
              <w:rPr>
                <w:rFonts w:ascii="Titillium Web" w:hAnsi="Titillium Web"/>
                <w:spacing w:val="-2"/>
              </w:rPr>
            </w:pPr>
          </w:p>
        </w:tc>
      </w:tr>
      <w:tr w:rsidR="00182272" w:rsidRPr="002F194C" w14:paraId="164AD2EC" w14:textId="77777777" w:rsidTr="00457309">
        <w:trPr>
          <w:trHeight w:val="480"/>
        </w:trPr>
        <w:tc>
          <w:tcPr>
            <w:tcW w:w="1701" w:type="dxa"/>
          </w:tcPr>
          <w:p w14:paraId="26EAFD0A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lastRenderedPageBreak/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G</w:t>
            </w:r>
          </w:p>
        </w:tc>
        <w:tc>
          <w:tcPr>
            <w:tcW w:w="3969" w:type="dxa"/>
          </w:tcPr>
          <w:p w14:paraId="1FFA361C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sulla conservazione documentale</w:t>
            </w:r>
          </w:p>
        </w:tc>
        <w:tc>
          <w:tcPr>
            <w:tcW w:w="4253" w:type="dxa"/>
          </w:tcPr>
          <w:p w14:paraId="5CFAA2F7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5"/>
              </w:rPr>
            </w:pPr>
            <w:r w:rsidRPr="002F194C">
              <w:rPr>
                <w:rFonts w:ascii="Titillium Web" w:hAnsi="Titillium Web"/>
                <w:spacing w:val="-2"/>
              </w:rPr>
              <w:t>L’attività di controllo è finalizzata a verificare le modalità di conservazione del fascicolo di progetto finanziato con i fondi PNRR, con riferimento all’acquisizione di documentazione utile all’accertamento delle modalità di conservazione documentale da parte del SA, la classificazione e la protocollazione dei documenti di progetto.</w:t>
            </w:r>
          </w:p>
        </w:tc>
      </w:tr>
      <w:bookmarkEnd w:id="1"/>
    </w:tbl>
    <w:p w14:paraId="4F8A5E82" w14:textId="77777777" w:rsidR="00182272" w:rsidRPr="002F194C" w:rsidRDefault="00182272" w:rsidP="00182272">
      <w:pPr>
        <w:ind w:left="-142" w:right="-188"/>
        <w:rPr>
          <w:rFonts w:ascii="Titillium Web" w:hAnsi="Titillium Web" w:cs="Times New Roman"/>
          <w:lang w:eastAsia="it-IT"/>
        </w:rPr>
      </w:pPr>
    </w:p>
    <w:p w14:paraId="0A58729A" w14:textId="77777777" w:rsidR="00182272" w:rsidRPr="002F194C" w:rsidRDefault="00182272" w:rsidP="00182272">
      <w:pPr>
        <w:ind w:left="-426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>3. CONCLUSIONI COMPLESSIVE SULL’ATTIVITA’ DI CONTROLLO</w:t>
      </w:r>
    </w:p>
    <w:p w14:paraId="7E313B75" w14:textId="77777777" w:rsidR="00182272" w:rsidRPr="002F194C" w:rsidRDefault="00182272" w:rsidP="00182272">
      <w:pPr>
        <w:ind w:left="-426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hAnsi="Titillium Web" w:cs="Times New Roman"/>
          <w:szCs w:val="24"/>
        </w:rPr>
        <w:t>Le tabelle sottostanti riepilogano l’esito dei controlli effettuati.</w:t>
      </w:r>
    </w:p>
    <w:p w14:paraId="41C2FC94" w14:textId="77777777" w:rsidR="00182272" w:rsidRPr="002F194C" w:rsidRDefault="00182272" w:rsidP="00182272">
      <w:pPr>
        <w:ind w:left="-426"/>
        <w:jc w:val="both"/>
        <w:rPr>
          <w:rFonts w:ascii="Titillium Web" w:eastAsia="Times New Roman" w:hAnsi="Titillium Web" w:cs="Times New Roman"/>
          <w:b/>
          <w:bCs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Cs w:val="24"/>
        </w:rPr>
        <w:t xml:space="preserve">3.1 Tabella riepilogativa in merito alle verifiche desk sugli interventi a Lump Sum  </w:t>
      </w:r>
    </w:p>
    <w:p w14:paraId="70608404" w14:textId="77777777" w:rsidR="00182272" w:rsidRPr="002F194C" w:rsidRDefault="00182272" w:rsidP="00182272">
      <w:pPr>
        <w:ind w:left="-426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All’esito delle verifiche condotte sui punti di controllo sopra illustrati dal team di controllo nominato, i seguenti SA (di cui al verbale di campionamento riportato nella sezione Anagrafica di Controllo del presente Report) hanno positivamente superato il controllo desk:</w:t>
      </w:r>
    </w:p>
    <w:p w14:paraId="41B58DE1" w14:textId="77777777" w:rsidR="00182272" w:rsidRPr="002F194C" w:rsidRDefault="00182272" w:rsidP="00182272">
      <w:pPr>
        <w:jc w:val="both"/>
        <w:rPr>
          <w:rFonts w:ascii="Titillium Web" w:eastAsia="Times New Roman" w:hAnsi="Titillium Web" w:cs="Times New Roman"/>
          <w:szCs w:val="24"/>
        </w:rPr>
      </w:pPr>
    </w:p>
    <w:tbl>
      <w:tblPr>
        <w:tblStyle w:val="TableNormal1"/>
        <w:tblW w:w="9307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541"/>
        <w:gridCol w:w="1541"/>
        <w:gridCol w:w="4069"/>
      </w:tblGrid>
      <w:tr w:rsidR="00182272" w:rsidRPr="002F194C" w14:paraId="67D684ED" w14:textId="77777777" w:rsidTr="00457309">
        <w:trPr>
          <w:trHeight w:val="1239"/>
        </w:trPr>
        <w:tc>
          <w:tcPr>
            <w:tcW w:w="2156" w:type="dxa"/>
            <w:shd w:val="clear" w:color="auto" w:fill="E8E8E8" w:themeFill="background2"/>
          </w:tcPr>
          <w:p w14:paraId="6D10D750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  <w:bookmarkStart w:id="2" w:name="_Hlk169801981"/>
          </w:p>
          <w:p w14:paraId="3A210B74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  <w:r w:rsidRPr="002F194C">
              <w:rPr>
                <w:rFonts w:ascii="Titillium Web" w:hAnsi="Titillium Web"/>
                <w:b/>
                <w:sz w:val="20"/>
              </w:rPr>
              <w:t xml:space="preserve">Soggetto Attuatore </w:t>
            </w:r>
          </w:p>
          <w:p w14:paraId="20C1307E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</w:p>
        </w:tc>
        <w:tc>
          <w:tcPr>
            <w:tcW w:w="1541" w:type="dxa"/>
            <w:shd w:val="clear" w:color="auto" w:fill="E8E8E8" w:themeFill="background2"/>
          </w:tcPr>
          <w:p w14:paraId="2E6E12F6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14:paraId="4FDA4241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</w:rPr>
              <w:t>CUP</w:t>
            </w:r>
          </w:p>
        </w:tc>
        <w:tc>
          <w:tcPr>
            <w:tcW w:w="1541" w:type="dxa"/>
            <w:shd w:val="clear" w:color="auto" w:fill="E8E8E8" w:themeFill="background2"/>
          </w:tcPr>
          <w:p w14:paraId="032C9E1F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14:paraId="61BAAAF4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</w:rPr>
              <w:t>Misura</w:t>
            </w:r>
          </w:p>
          <w:p w14:paraId="513D4C7A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14:paraId="37ABBC23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</w:tc>
        <w:tc>
          <w:tcPr>
            <w:tcW w:w="4069" w:type="dxa"/>
            <w:shd w:val="clear" w:color="auto" w:fill="E8E8E8" w:themeFill="background2"/>
          </w:tcPr>
          <w:p w14:paraId="525D600F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14:paraId="633AF504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sz w:val="20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</w:rPr>
              <w:t xml:space="preserve">Esito  </w:t>
            </w:r>
          </w:p>
        </w:tc>
      </w:tr>
      <w:tr w:rsidR="00182272" w:rsidRPr="002F194C" w14:paraId="5AF4B7AB" w14:textId="77777777" w:rsidTr="00457309">
        <w:trPr>
          <w:trHeight w:val="500"/>
        </w:trPr>
        <w:tc>
          <w:tcPr>
            <w:tcW w:w="2156" w:type="dxa"/>
          </w:tcPr>
          <w:p w14:paraId="2BB65636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1</w:t>
            </w:r>
          </w:p>
        </w:tc>
        <w:tc>
          <w:tcPr>
            <w:tcW w:w="1541" w:type="dxa"/>
          </w:tcPr>
          <w:p w14:paraId="0D160E7E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14:paraId="2236A615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14:paraId="258E30D9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</w:rPr>
            </w:pPr>
          </w:p>
        </w:tc>
      </w:tr>
      <w:tr w:rsidR="00182272" w:rsidRPr="002F194C" w14:paraId="2C0B5DF7" w14:textId="77777777" w:rsidTr="00457309">
        <w:trPr>
          <w:trHeight w:val="500"/>
        </w:trPr>
        <w:tc>
          <w:tcPr>
            <w:tcW w:w="2156" w:type="dxa"/>
          </w:tcPr>
          <w:p w14:paraId="7936F5DB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2</w:t>
            </w:r>
          </w:p>
        </w:tc>
        <w:tc>
          <w:tcPr>
            <w:tcW w:w="1541" w:type="dxa"/>
          </w:tcPr>
          <w:p w14:paraId="4C82D17D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14:paraId="51AB76B6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14:paraId="39F5F6D7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="00182272" w:rsidRPr="002F194C" w14:paraId="32C59680" w14:textId="77777777" w:rsidTr="00457309">
        <w:trPr>
          <w:trHeight w:val="500"/>
        </w:trPr>
        <w:tc>
          <w:tcPr>
            <w:tcW w:w="2156" w:type="dxa"/>
          </w:tcPr>
          <w:p w14:paraId="4B2087A0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3</w:t>
            </w:r>
          </w:p>
        </w:tc>
        <w:tc>
          <w:tcPr>
            <w:tcW w:w="1541" w:type="dxa"/>
          </w:tcPr>
          <w:p w14:paraId="39FFD620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14:paraId="26C64AAA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14:paraId="202B28B6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="00182272" w:rsidRPr="002F194C" w14:paraId="7E23799E" w14:textId="77777777" w:rsidTr="00457309">
        <w:trPr>
          <w:trHeight w:val="500"/>
        </w:trPr>
        <w:tc>
          <w:tcPr>
            <w:tcW w:w="2156" w:type="dxa"/>
          </w:tcPr>
          <w:p w14:paraId="612B71CF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4</w:t>
            </w:r>
          </w:p>
        </w:tc>
        <w:tc>
          <w:tcPr>
            <w:tcW w:w="1541" w:type="dxa"/>
          </w:tcPr>
          <w:p w14:paraId="5AB9ECB6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14:paraId="29BAEC24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14:paraId="0301FBBF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="00182272" w:rsidRPr="002F194C" w14:paraId="6E1698F0" w14:textId="77777777" w:rsidTr="00457309">
        <w:trPr>
          <w:trHeight w:val="500"/>
        </w:trPr>
        <w:tc>
          <w:tcPr>
            <w:tcW w:w="2156" w:type="dxa"/>
          </w:tcPr>
          <w:p w14:paraId="31FD9B30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</w:p>
        </w:tc>
        <w:tc>
          <w:tcPr>
            <w:tcW w:w="1541" w:type="dxa"/>
          </w:tcPr>
          <w:p w14:paraId="69374359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14:paraId="081F8F0B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14:paraId="3DBF4714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="00182272" w:rsidRPr="002F194C" w14:paraId="1C3D7F09" w14:textId="77777777" w:rsidTr="00457309">
        <w:trPr>
          <w:trHeight w:val="500"/>
        </w:trPr>
        <w:tc>
          <w:tcPr>
            <w:tcW w:w="2156" w:type="dxa"/>
          </w:tcPr>
          <w:p w14:paraId="73F624BF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</w:p>
        </w:tc>
        <w:tc>
          <w:tcPr>
            <w:tcW w:w="1541" w:type="dxa"/>
          </w:tcPr>
          <w:p w14:paraId="44ECB370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14:paraId="47ACB9DC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14:paraId="48631586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="00182272" w:rsidRPr="002F194C" w14:paraId="3F8A699C" w14:textId="77777777" w:rsidTr="00457309">
        <w:trPr>
          <w:trHeight w:val="500"/>
        </w:trPr>
        <w:tc>
          <w:tcPr>
            <w:tcW w:w="2156" w:type="dxa"/>
          </w:tcPr>
          <w:p w14:paraId="7E3F4F70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</w:p>
        </w:tc>
        <w:tc>
          <w:tcPr>
            <w:tcW w:w="1541" w:type="dxa"/>
          </w:tcPr>
          <w:p w14:paraId="5DD76D5A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14:paraId="2C8B04AA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14:paraId="6C3EC7F8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bookmarkEnd w:id="2"/>
    </w:tbl>
    <w:p w14:paraId="3C024A88" w14:textId="77777777" w:rsidR="00182272" w:rsidRPr="002F194C" w:rsidRDefault="00182272" w:rsidP="00182272">
      <w:pPr>
        <w:ind w:left="360"/>
        <w:jc w:val="both"/>
        <w:rPr>
          <w:rFonts w:ascii="Titillium Web" w:eastAsia="Times New Roman" w:hAnsi="Titillium Web" w:cs="Times New Roman"/>
        </w:rPr>
      </w:pPr>
    </w:p>
    <w:p w14:paraId="3EF21A79" w14:textId="77777777" w:rsidR="00182272" w:rsidRPr="002F194C" w:rsidRDefault="00182272" w:rsidP="00182272">
      <w:pPr>
        <w:ind w:left="-426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</w:rPr>
        <w:tab/>
      </w:r>
      <w:r w:rsidRPr="002F194C">
        <w:rPr>
          <w:rFonts w:ascii="Titillium Web" w:eastAsia="Times New Roman" w:hAnsi="Titillium Web" w:cs="Times New Roman"/>
          <w:szCs w:val="24"/>
        </w:rPr>
        <w:t>A ciascuno dei SA sopra elencati, che hanno positivamente superato il controllo, verrà comunicato un estratto del presente verbale a firma del dirigente competente di cui all’</w:t>
      </w:r>
      <w:r w:rsidRPr="002F194C">
        <w:rPr>
          <w:rFonts w:ascii="Titillium Web" w:eastAsia="Times New Roman" w:hAnsi="Titillium Web" w:cs="Times New Roman"/>
          <w:b/>
          <w:bCs/>
          <w:szCs w:val="24"/>
        </w:rPr>
        <w:t>Allegato 2</w:t>
      </w:r>
      <w:r w:rsidRPr="002F194C">
        <w:rPr>
          <w:rFonts w:ascii="Titillium Web" w:eastAsia="Times New Roman" w:hAnsi="Titillium Web" w:cs="Times New Roman"/>
          <w:szCs w:val="24"/>
        </w:rPr>
        <w:t>.</w:t>
      </w:r>
    </w:p>
    <w:p w14:paraId="68EE7057" w14:textId="77777777" w:rsidR="00182272" w:rsidRPr="00442EDA" w:rsidRDefault="00182272" w:rsidP="00182272">
      <w:pPr>
        <w:ind w:left="-426"/>
        <w:jc w:val="both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  <w:highlight w:val="lightGray"/>
        </w:rPr>
        <w:t xml:space="preserve">All’esito delle verifiche condotte dal team di controllo, risultano, invece, non aver superato la verifica desk i SA di seguito elencati, per ciascuno dei quali si fornisce in allegato apposito Report definitivo, illustrativo dei motivi dell’esito negativo e dei punti di controllo non superati. </w:t>
      </w:r>
    </w:p>
    <w:p w14:paraId="1E58B863" w14:textId="77777777" w:rsidR="00182272" w:rsidRPr="002F194C" w:rsidRDefault="00182272" w:rsidP="00182272">
      <w:pPr>
        <w:ind w:left="360"/>
        <w:jc w:val="both"/>
        <w:rPr>
          <w:rFonts w:ascii="Titillium Web" w:eastAsia="Times New Roman" w:hAnsi="Titillium Web" w:cstheme="minorHAnsi"/>
          <w:szCs w:val="24"/>
          <w:highlight w:val="lightGray"/>
        </w:rPr>
      </w:pPr>
    </w:p>
    <w:tbl>
      <w:tblPr>
        <w:tblStyle w:val="TableNormal1"/>
        <w:tblW w:w="9916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2631"/>
        <w:gridCol w:w="2631"/>
        <w:gridCol w:w="2631"/>
      </w:tblGrid>
      <w:tr w:rsidR="00182272" w:rsidRPr="002F194C" w14:paraId="7298C9B7" w14:textId="77777777" w:rsidTr="00457309">
        <w:trPr>
          <w:trHeight w:val="1163"/>
        </w:trPr>
        <w:tc>
          <w:tcPr>
            <w:tcW w:w="2023" w:type="dxa"/>
            <w:shd w:val="clear" w:color="auto" w:fill="E8E8E8" w:themeFill="background2"/>
          </w:tcPr>
          <w:p w14:paraId="4CA66E54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z w:val="20"/>
                <w:highlight w:val="lightGray"/>
              </w:rPr>
            </w:pPr>
          </w:p>
          <w:p w14:paraId="27E3677B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z w:val="20"/>
                <w:highlight w:val="lightGray"/>
              </w:rPr>
            </w:pPr>
            <w:r w:rsidRPr="002F194C">
              <w:rPr>
                <w:rFonts w:ascii="Titillium Web" w:hAnsi="Titillium Web"/>
                <w:b/>
                <w:sz w:val="20"/>
                <w:highlight w:val="lightGray"/>
              </w:rPr>
              <w:t>Soggetto Attuatore</w:t>
            </w:r>
          </w:p>
        </w:tc>
        <w:tc>
          <w:tcPr>
            <w:tcW w:w="2631" w:type="dxa"/>
            <w:shd w:val="clear" w:color="auto" w:fill="E8E8E8" w:themeFill="background2"/>
          </w:tcPr>
          <w:p w14:paraId="5A05A0CA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</w:p>
          <w:p w14:paraId="24F64DAF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  <w:t>CUP</w:t>
            </w:r>
          </w:p>
        </w:tc>
        <w:tc>
          <w:tcPr>
            <w:tcW w:w="2631" w:type="dxa"/>
            <w:shd w:val="clear" w:color="auto" w:fill="E8E8E8" w:themeFill="background2"/>
          </w:tcPr>
          <w:p w14:paraId="180F066C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</w:p>
          <w:p w14:paraId="13761A87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  <w:t>Misura</w:t>
            </w:r>
          </w:p>
        </w:tc>
        <w:tc>
          <w:tcPr>
            <w:tcW w:w="2631" w:type="dxa"/>
            <w:shd w:val="clear" w:color="auto" w:fill="E8E8E8" w:themeFill="background2"/>
          </w:tcPr>
          <w:p w14:paraId="34E476D9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</w:p>
          <w:p w14:paraId="3BB03973" w14:textId="77777777" w:rsidR="00182272" w:rsidRPr="002F194C" w:rsidRDefault="00182272" w:rsidP="00457309">
            <w:pPr>
              <w:pStyle w:val="TableParagraph"/>
              <w:jc w:val="center"/>
              <w:rPr>
                <w:rFonts w:ascii="Titillium Web" w:hAnsi="Titillium Web"/>
                <w:sz w:val="20"/>
                <w:highlight w:val="lightGray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  <w:t xml:space="preserve">Esito  </w:t>
            </w:r>
          </w:p>
        </w:tc>
      </w:tr>
      <w:tr w:rsidR="00182272" w:rsidRPr="002F194C" w14:paraId="1A346E67" w14:textId="77777777" w:rsidTr="00457309">
        <w:trPr>
          <w:trHeight w:val="469"/>
        </w:trPr>
        <w:tc>
          <w:tcPr>
            <w:tcW w:w="2023" w:type="dxa"/>
          </w:tcPr>
          <w:p w14:paraId="6A7F629F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  <w:highlight w:val="lightGray"/>
              </w:rPr>
            </w:pPr>
          </w:p>
        </w:tc>
        <w:tc>
          <w:tcPr>
            <w:tcW w:w="2631" w:type="dxa"/>
          </w:tcPr>
          <w:p w14:paraId="33F7523E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14:paraId="321ADE41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14:paraId="4BCD3343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highlight w:val="lightGray"/>
              </w:rPr>
            </w:pPr>
          </w:p>
        </w:tc>
      </w:tr>
      <w:tr w:rsidR="00182272" w:rsidRPr="002F194C" w14:paraId="4F0D1370" w14:textId="77777777" w:rsidTr="00457309">
        <w:trPr>
          <w:trHeight w:val="469"/>
        </w:trPr>
        <w:tc>
          <w:tcPr>
            <w:tcW w:w="2023" w:type="dxa"/>
          </w:tcPr>
          <w:p w14:paraId="687C2FD2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  <w:highlight w:val="lightGray"/>
              </w:rPr>
            </w:pPr>
          </w:p>
        </w:tc>
        <w:tc>
          <w:tcPr>
            <w:tcW w:w="2631" w:type="dxa"/>
          </w:tcPr>
          <w:p w14:paraId="7F437349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14:paraId="59AABC37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14:paraId="06037E33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</w:tr>
      <w:tr w:rsidR="00182272" w:rsidRPr="002F194C" w14:paraId="73E49E1F" w14:textId="77777777" w:rsidTr="00457309">
        <w:trPr>
          <w:trHeight w:val="469"/>
        </w:trPr>
        <w:tc>
          <w:tcPr>
            <w:tcW w:w="2023" w:type="dxa"/>
          </w:tcPr>
          <w:p w14:paraId="43AF9045" w14:textId="77777777" w:rsidR="00182272" w:rsidRPr="002F194C" w:rsidRDefault="00182272" w:rsidP="00457309">
            <w:pPr>
              <w:pStyle w:val="TableParagraph"/>
              <w:spacing w:before="90"/>
              <w:ind w:left="87"/>
              <w:rPr>
                <w:rFonts w:ascii="Titillium Web" w:hAnsi="Titillium Web"/>
                <w:highlight w:val="lightGray"/>
              </w:rPr>
            </w:pPr>
          </w:p>
        </w:tc>
        <w:tc>
          <w:tcPr>
            <w:tcW w:w="2631" w:type="dxa"/>
          </w:tcPr>
          <w:p w14:paraId="413E8613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14:paraId="16AA6D08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14:paraId="2325957D" w14:textId="77777777" w:rsidR="00182272" w:rsidRPr="002F194C" w:rsidRDefault="00182272" w:rsidP="00457309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</w:tbl>
    <w:p w14:paraId="2492F091" w14:textId="77777777" w:rsidR="00182272" w:rsidRPr="002F194C" w:rsidRDefault="00182272" w:rsidP="00182272">
      <w:pPr>
        <w:ind w:left="567"/>
        <w:rPr>
          <w:rFonts w:ascii="Titillium Web" w:eastAsia="Times New Roman" w:hAnsi="Titillium Web" w:cs="Times New Roman"/>
          <w:szCs w:val="24"/>
        </w:rPr>
      </w:pPr>
    </w:p>
    <w:p w14:paraId="3423B455" w14:textId="77777777" w:rsidR="00182272" w:rsidRDefault="00182272" w:rsidP="00182272">
      <w:pPr>
        <w:ind w:left="567"/>
        <w:rPr>
          <w:rFonts w:ascii="Titillium Web" w:eastAsia="Times New Roman" w:hAnsi="Titillium Web" w:cs="Times New Roman"/>
          <w:szCs w:val="24"/>
        </w:rPr>
      </w:pPr>
    </w:p>
    <w:p w14:paraId="58C9E98F" w14:textId="77777777" w:rsidR="00182272" w:rsidRPr="002F194C" w:rsidRDefault="00182272" w:rsidP="00182272">
      <w:pPr>
        <w:ind w:left="567"/>
        <w:rPr>
          <w:rFonts w:ascii="Titillium Web" w:eastAsia="Times New Roman" w:hAnsi="Titillium Web" w:cs="Times New Roman"/>
          <w:szCs w:val="24"/>
        </w:rPr>
      </w:pPr>
    </w:p>
    <w:p w14:paraId="5511F421" w14:textId="77777777" w:rsidR="00182272" w:rsidRPr="002F194C" w:rsidRDefault="00182272" w:rsidP="00182272">
      <w:pPr>
        <w:ind w:left="-426"/>
        <w:rPr>
          <w:rFonts w:ascii="Titillium Web" w:eastAsia="Times New Roman" w:hAnsi="Titillium Web" w:cs="Times New Roman"/>
          <w:szCs w:val="24"/>
        </w:rPr>
      </w:pPr>
      <w:r w:rsidRPr="002F194C">
        <w:rPr>
          <w:rFonts w:ascii="Titillium Web" w:eastAsia="Times New Roman" w:hAnsi="Titillium Web" w:cs="Times New Roman"/>
          <w:szCs w:val="24"/>
        </w:rPr>
        <w:t>Roma, ….</w:t>
      </w:r>
    </w:p>
    <w:p w14:paraId="2CCF8662" w14:textId="77777777" w:rsidR="00182272" w:rsidRPr="002F194C" w:rsidRDefault="00182272" w:rsidP="00182272">
      <w:pPr>
        <w:ind w:left="-426"/>
        <w:rPr>
          <w:rFonts w:ascii="Titillium Web" w:eastAsia="Times New Roman" w:hAnsi="Titillium Web" w:cs="Times New Roman"/>
          <w:szCs w:val="24"/>
          <w:highlight w:val="lightGray"/>
        </w:rPr>
      </w:pPr>
      <w:r w:rsidRPr="002F194C">
        <w:rPr>
          <w:rFonts w:ascii="Titillium Web" w:eastAsia="Times New Roman" w:hAnsi="Titillium Web" w:cs="Times New Roman"/>
          <w:szCs w:val="24"/>
        </w:rPr>
        <w:t>[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inserire nominativo firmatario incaricato</w:t>
      </w:r>
      <w:r w:rsidRPr="002F194C">
        <w:rPr>
          <w:rFonts w:ascii="Titillium Web" w:eastAsia="Times New Roman" w:hAnsi="Titillium Web" w:cs="Times New Roman"/>
          <w:szCs w:val="24"/>
        </w:rPr>
        <w:t>]</w:t>
      </w:r>
      <w:r w:rsidRPr="002F194C">
        <w:rPr>
          <w:rFonts w:ascii="Titillium Web" w:hAnsi="Titillium Web"/>
        </w:rPr>
        <w:t xml:space="preserve">                     </w:t>
      </w:r>
      <w:r w:rsidRPr="002F194C">
        <w:rPr>
          <w:rFonts w:ascii="Titillium Web" w:eastAsia="Times New Roman" w:hAnsi="Titillium Web" w:cs="Times New Roman"/>
          <w:szCs w:val="24"/>
        </w:rPr>
        <w:t>[</w:t>
      </w:r>
      <w:r w:rsidRPr="002F194C">
        <w:rPr>
          <w:rFonts w:ascii="Titillium Web" w:eastAsia="Times New Roman" w:hAnsi="Titillium Web" w:cs="Times New Roman"/>
          <w:szCs w:val="24"/>
          <w:highlight w:val="lightGray"/>
        </w:rPr>
        <w:t>inserire nominativo firmatario incaricato</w:t>
      </w:r>
      <w:r w:rsidRPr="002F194C">
        <w:rPr>
          <w:rFonts w:ascii="Titillium Web" w:eastAsia="Times New Roman" w:hAnsi="Titillium Web" w:cs="Times New Roman"/>
          <w:szCs w:val="24"/>
        </w:rPr>
        <w:t>]</w:t>
      </w:r>
    </w:p>
    <w:p w14:paraId="43EBD175" w14:textId="65411280" w:rsidR="00F54FA5" w:rsidRPr="00982676" w:rsidRDefault="00182272" w:rsidP="00182272">
      <w:pPr>
        <w:ind w:left="-284" w:right="-188"/>
      </w:pPr>
      <w:r w:rsidRPr="002F194C">
        <w:rPr>
          <w:rFonts w:ascii="Titillium Web" w:eastAsia="Times New Roman" w:hAnsi="Titillium Web" w:cs="Times New Roman"/>
          <w:szCs w:val="24"/>
        </w:rPr>
        <w:t>_____________________</w:t>
      </w:r>
      <w:r w:rsidRPr="002F194C">
        <w:rPr>
          <w:rFonts w:ascii="Titillium Web" w:hAnsi="Titillium Web"/>
        </w:rPr>
        <w:tab/>
      </w:r>
      <w:r>
        <w:rPr>
          <w:rFonts w:ascii="Titillium Web" w:hAnsi="Titillium Web"/>
        </w:rPr>
        <w:tab/>
      </w:r>
      <w:r>
        <w:rPr>
          <w:rFonts w:ascii="Titillium Web" w:hAnsi="Titillium Web"/>
        </w:rPr>
        <w:tab/>
      </w:r>
      <w:r w:rsidRPr="002F194C">
        <w:rPr>
          <w:rFonts w:ascii="Titillium Web" w:eastAsia="Times New Roman" w:hAnsi="Titillium Web" w:cs="Times New Roman"/>
          <w:szCs w:val="24"/>
        </w:rPr>
        <w:t>_____________________</w:t>
      </w:r>
    </w:p>
    <w:sectPr w:rsidR="00F54FA5" w:rsidRPr="00982676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01FBE" w14:textId="77777777" w:rsidR="00784378" w:rsidRDefault="00784378" w:rsidP="0090187D">
      <w:pPr>
        <w:spacing w:before="0" w:after="0" w:line="240" w:lineRule="auto"/>
      </w:pPr>
      <w:r>
        <w:separator/>
      </w:r>
    </w:p>
  </w:endnote>
  <w:endnote w:type="continuationSeparator" w:id="0">
    <w:p w14:paraId="58F66C0F" w14:textId="77777777" w:rsidR="00784378" w:rsidRDefault="00784378" w:rsidP="00901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09A17" w14:textId="77777777" w:rsidR="00784378" w:rsidRDefault="00784378" w:rsidP="0090187D">
      <w:pPr>
        <w:spacing w:before="0" w:after="0" w:line="240" w:lineRule="auto"/>
      </w:pPr>
      <w:r>
        <w:separator/>
      </w:r>
    </w:p>
  </w:footnote>
  <w:footnote w:type="continuationSeparator" w:id="0">
    <w:p w14:paraId="7CAE4083" w14:textId="77777777" w:rsidR="00784378" w:rsidRDefault="00784378" w:rsidP="0090187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14:paraId="7047EDF9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7BCE470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49463E8" w14:textId="77777777" w:rsidR="0090187D" w:rsidRDefault="0090187D" w:rsidP="0090187D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BC99AE4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1268534" w14:textId="77777777" w:rsidR="0090187D" w:rsidRDefault="009018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3550"/>
    <w:multiLevelType w:val="hybridMultilevel"/>
    <w:tmpl w:val="7BCCDD08"/>
    <w:lvl w:ilvl="0" w:tplc="E9666D6A">
      <w:numFmt w:val="bullet"/>
      <w:lvlText w:val="●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DD63C4E">
      <w:numFmt w:val="bullet"/>
      <w:lvlText w:val="•"/>
      <w:lvlJc w:val="left"/>
      <w:pPr>
        <w:ind w:left="1810" w:hanging="73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4FE4"/>
    <w:multiLevelType w:val="multilevel"/>
    <w:tmpl w:val="CA387076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85D4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  <w:color w:val="000000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F61121"/>
    <w:multiLevelType w:val="hybridMultilevel"/>
    <w:tmpl w:val="5688F28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96000D"/>
    <w:multiLevelType w:val="hybridMultilevel"/>
    <w:tmpl w:val="268C2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017"/>
    <w:multiLevelType w:val="hybridMultilevel"/>
    <w:tmpl w:val="BB261D3E"/>
    <w:lvl w:ilvl="0" w:tplc="8362BF7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A1FCE5E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4D0946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F50C6C7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4472344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EC0CECC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0BC00F7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9B9C34E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166100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364A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EB3CC4"/>
    <w:multiLevelType w:val="multilevel"/>
    <w:tmpl w:val="F1E0A21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 w16cid:durableId="1840996145">
    <w:abstractNumId w:val="5"/>
  </w:num>
  <w:num w:numId="2" w16cid:durableId="879316164">
    <w:abstractNumId w:val="7"/>
  </w:num>
  <w:num w:numId="3" w16cid:durableId="1421948334">
    <w:abstractNumId w:val="11"/>
  </w:num>
  <w:num w:numId="4" w16cid:durableId="574125400">
    <w:abstractNumId w:val="2"/>
  </w:num>
  <w:num w:numId="5" w16cid:durableId="176507420">
    <w:abstractNumId w:val="1"/>
  </w:num>
  <w:num w:numId="6" w16cid:durableId="1482426547">
    <w:abstractNumId w:val="10"/>
  </w:num>
  <w:num w:numId="7" w16cid:durableId="1309048496">
    <w:abstractNumId w:val="4"/>
  </w:num>
  <w:num w:numId="8" w16cid:durableId="354575178">
    <w:abstractNumId w:val="3"/>
  </w:num>
  <w:num w:numId="9" w16cid:durableId="231354936">
    <w:abstractNumId w:val="8"/>
  </w:num>
  <w:num w:numId="10" w16cid:durableId="207963008">
    <w:abstractNumId w:val="13"/>
  </w:num>
  <w:num w:numId="11" w16cid:durableId="1010133646">
    <w:abstractNumId w:val="9"/>
  </w:num>
  <w:num w:numId="12" w16cid:durableId="1575705756">
    <w:abstractNumId w:val="0"/>
  </w:num>
  <w:num w:numId="13" w16cid:durableId="1162693876">
    <w:abstractNumId w:val="12"/>
  </w:num>
  <w:num w:numId="14" w16cid:durableId="1590775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D076E"/>
    <w:rsid w:val="00152A86"/>
    <w:rsid w:val="00182272"/>
    <w:rsid w:val="002A12FF"/>
    <w:rsid w:val="002E348A"/>
    <w:rsid w:val="003D7B72"/>
    <w:rsid w:val="00431668"/>
    <w:rsid w:val="00567DAB"/>
    <w:rsid w:val="005E4277"/>
    <w:rsid w:val="00710A9C"/>
    <w:rsid w:val="00784378"/>
    <w:rsid w:val="0090187D"/>
    <w:rsid w:val="00982676"/>
    <w:rsid w:val="00A22C5F"/>
    <w:rsid w:val="00B2127C"/>
    <w:rsid w:val="00BC29E7"/>
    <w:rsid w:val="00D9365B"/>
    <w:rsid w:val="00EB1302"/>
    <w:rsid w:val="00F14A35"/>
    <w:rsid w:val="00F45E6F"/>
    <w:rsid w:val="00F54FA5"/>
    <w:rsid w:val="00FC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character" w:customStyle="1" w:styleId="eop">
    <w:name w:val="eop"/>
    <w:basedOn w:val="Carpredefinitoparagrafo"/>
    <w:rsid w:val="00F54FA5"/>
  </w:style>
  <w:style w:type="paragraph" w:customStyle="1" w:styleId="paragraph">
    <w:name w:val="paragraph"/>
    <w:basedOn w:val="Normale"/>
    <w:rsid w:val="00F5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Normal3">
    <w:name w:val="Normal3"/>
    <w:qFormat/>
    <w:rsid w:val="00982676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ja-JP"/>
      <w14:ligatures w14:val="none"/>
    </w:rPr>
  </w:style>
  <w:style w:type="table" w:customStyle="1" w:styleId="TableNormal1">
    <w:name w:val="Table Normal1"/>
    <w:qFormat/>
    <w:rsid w:val="00182272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1822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6F30D-AECD-4EF5-83D8-E20CB6336021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F3042137-EBA9-40E2-ABE5-10F9D05E0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D7C9CB-470C-4AA1-9054-AFD33A65DD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Aquino, Emilio (Bip Group)</cp:lastModifiedBy>
  <cp:revision>3</cp:revision>
  <dcterms:created xsi:type="dcterms:W3CDTF">2026-04-07T12:24:00Z</dcterms:created>
  <dcterms:modified xsi:type="dcterms:W3CDTF">2026-04-10T09:26:00Z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